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xml:space="preserve">, </w:t>
      </w:r>
      <w:proofErr w:type="gramStart"/>
      <w:r w:rsidR="00897875">
        <w:t>202</w:t>
      </w:r>
      <w:r w:rsidR="006F36B7">
        <w:t>2</w:t>
      </w:r>
      <w:proofErr w:type="gramEnd"/>
      <w:r w:rsidRPr="00FF34E9">
        <w:t xml:space="preserve"> from 1pm-4pm. At least two team members from each awarded team (unless the award is for one individual) are required to attend the synchronous Kickoff Meeting.</w:t>
      </w:r>
    </w:p>
    <w:p w14:paraId="46F7D648" w14:textId="3A2A8A26" w:rsidR="00725343" w:rsidRDefault="003303B4" w:rsidP="00D4258C">
      <w:pPr>
        <w:pStyle w:val="Heading1"/>
        <w:jc w:val="left"/>
      </w:pPr>
      <w:r>
        <w:t xml:space="preserve">Applicant and Team </w:t>
      </w:r>
      <w:r w:rsidR="003C350B">
        <w:t>Information</w:t>
      </w:r>
    </w:p>
    <w:p w14:paraId="0D02B225" w14:textId="77777777" w:rsidR="00D4258C" w:rsidRPr="00D4258C" w:rsidRDefault="00D4258C" w:rsidP="00D4258C"/>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9453D"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5F0E04F" w:rsidR="0079453D" w:rsidRDefault="0079453D" w:rsidP="0079453D">
            <w:pPr>
              <w:jc w:val="left"/>
            </w:pPr>
            <w:r>
              <w:t>Institution(s)</w:t>
            </w:r>
          </w:p>
        </w:tc>
        <w:tc>
          <w:tcPr>
            <w:tcW w:w="6385" w:type="dxa"/>
          </w:tcPr>
          <w:p w14:paraId="537BA3AF" w14:textId="34DA1EB3" w:rsidR="0079453D" w:rsidRDefault="0079453D" w:rsidP="0079453D">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9453D"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46339890" w:rsidR="0079453D" w:rsidRDefault="0079453D" w:rsidP="0079453D">
            <w:pPr>
              <w:jc w:val="left"/>
            </w:pPr>
            <w:r>
              <w:t>Applicant name</w:t>
            </w:r>
          </w:p>
        </w:tc>
        <w:tc>
          <w:tcPr>
            <w:tcW w:w="6385" w:type="dxa"/>
          </w:tcPr>
          <w:p w14:paraId="0CF0A4D3" w14:textId="4470949E" w:rsidR="0079453D" w:rsidRDefault="0079453D" w:rsidP="0079453D">
            <w:pPr>
              <w:jc w:val="left"/>
              <w:cnfStyle w:val="000000000000" w:firstRow="0" w:lastRow="0" w:firstColumn="0" w:lastColumn="0" w:oddVBand="0" w:evenVBand="0" w:oddHBand="0" w:evenHBand="0" w:firstRowFirstColumn="0" w:firstRowLastColumn="0" w:lastRowFirstColumn="0" w:lastRowLastColumn="0"/>
            </w:pPr>
            <w:r>
              <w:t xml:space="preserve">Erin </w:t>
            </w:r>
            <w:proofErr w:type="spellStart"/>
            <w:r>
              <w:t>Bahl</w:t>
            </w:r>
            <w:proofErr w:type="spellEnd"/>
          </w:p>
        </w:tc>
      </w:tr>
      <w:tr w:rsidR="0079453D"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2AAE0215" w:rsidR="0079453D" w:rsidRDefault="0079453D" w:rsidP="0079453D">
            <w:pPr>
              <w:jc w:val="left"/>
            </w:pPr>
            <w:r>
              <w:t xml:space="preserve">Applicant email </w:t>
            </w:r>
          </w:p>
        </w:tc>
        <w:tc>
          <w:tcPr>
            <w:tcW w:w="6385" w:type="dxa"/>
          </w:tcPr>
          <w:p w14:paraId="15558855" w14:textId="7092A2E9" w:rsidR="0079453D" w:rsidRDefault="0079453D" w:rsidP="0079453D">
            <w:pPr>
              <w:jc w:val="left"/>
              <w:cnfStyle w:val="000000100000" w:firstRow="0" w:lastRow="0" w:firstColumn="0" w:lastColumn="0" w:oddVBand="0" w:evenVBand="0" w:oddHBand="1" w:evenHBand="0" w:firstRowFirstColumn="0" w:firstRowLastColumn="0" w:lastRowFirstColumn="0" w:lastRowLastColumn="0"/>
            </w:pPr>
            <w:r>
              <w:t>ebahl@kennesaw.edu</w:t>
            </w:r>
          </w:p>
        </w:tc>
      </w:tr>
      <w:tr w:rsidR="0079453D"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B34315" w:rsidR="0079453D" w:rsidRDefault="0079453D" w:rsidP="0079453D">
            <w:pPr>
              <w:jc w:val="left"/>
            </w:pPr>
            <w:r>
              <w:t>Applicant position/title</w:t>
            </w:r>
          </w:p>
        </w:tc>
        <w:tc>
          <w:tcPr>
            <w:tcW w:w="6385" w:type="dxa"/>
          </w:tcPr>
          <w:p w14:paraId="3BBEDA31" w14:textId="47212DC8" w:rsidR="0079453D" w:rsidRDefault="0079453D" w:rsidP="0079453D">
            <w:pPr>
              <w:jc w:val="left"/>
              <w:cnfStyle w:val="000000000000" w:firstRow="0" w:lastRow="0" w:firstColumn="0" w:lastColumn="0" w:oddVBand="0" w:evenVBand="0" w:oddHBand="0" w:evenHBand="0" w:firstRowFirstColumn="0" w:firstRowLastColumn="0" w:lastRowFirstColumn="0" w:lastRowLastColumn="0"/>
            </w:pPr>
            <w:r>
              <w:t>Assistant Professor of English</w:t>
            </w:r>
          </w:p>
        </w:tc>
      </w:tr>
      <w:tr w:rsidR="0079453D"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40056E76" w:rsidR="0079453D" w:rsidRDefault="0079453D" w:rsidP="0079453D">
            <w:pPr>
              <w:jc w:val="left"/>
            </w:pPr>
            <w:r>
              <w:t xml:space="preserve">Submitter name </w:t>
            </w:r>
          </w:p>
        </w:tc>
        <w:tc>
          <w:tcPr>
            <w:tcW w:w="6385" w:type="dxa"/>
          </w:tcPr>
          <w:p w14:paraId="2877A289" w14:textId="2B6B8DD8" w:rsidR="0079453D" w:rsidRDefault="0079453D" w:rsidP="0079453D">
            <w:pPr>
              <w:jc w:val="left"/>
              <w:cnfStyle w:val="000000100000" w:firstRow="0" w:lastRow="0" w:firstColumn="0" w:lastColumn="0" w:oddVBand="0" w:evenVBand="0" w:oddHBand="1" w:evenHBand="0" w:firstRowFirstColumn="0" w:firstRowLastColumn="0" w:lastRowFirstColumn="0" w:lastRowLastColumn="0"/>
            </w:pPr>
            <w:r>
              <w:t xml:space="preserve">Erin </w:t>
            </w:r>
            <w:proofErr w:type="spellStart"/>
            <w:r>
              <w:t>Bahl</w:t>
            </w:r>
            <w:proofErr w:type="spellEnd"/>
          </w:p>
        </w:tc>
      </w:tr>
      <w:tr w:rsidR="0079453D"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5F6137E6" w:rsidR="0079453D" w:rsidRDefault="0079453D" w:rsidP="0079453D">
            <w:pPr>
              <w:jc w:val="left"/>
            </w:pPr>
            <w:r>
              <w:t xml:space="preserve">Submitter email </w:t>
            </w:r>
          </w:p>
        </w:tc>
        <w:tc>
          <w:tcPr>
            <w:tcW w:w="6385" w:type="dxa"/>
          </w:tcPr>
          <w:p w14:paraId="21E89ED7" w14:textId="2FAA6618" w:rsidR="0079453D" w:rsidRDefault="0079453D" w:rsidP="0079453D">
            <w:pPr>
              <w:jc w:val="left"/>
              <w:cnfStyle w:val="000000000000" w:firstRow="0" w:lastRow="0" w:firstColumn="0" w:lastColumn="0" w:oddVBand="0" w:evenVBand="0" w:oddHBand="0" w:evenHBand="0" w:firstRowFirstColumn="0" w:firstRowLastColumn="0" w:lastRowFirstColumn="0" w:lastRowLastColumn="0"/>
            </w:pPr>
            <w:r>
              <w:t>ebahl@kennesaw.edu</w:t>
            </w:r>
          </w:p>
        </w:tc>
      </w:tr>
      <w:tr w:rsidR="0079453D"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35A3F9AC" w:rsidR="0079453D" w:rsidRDefault="0079453D" w:rsidP="0079453D">
            <w:pPr>
              <w:jc w:val="left"/>
            </w:pPr>
            <w:r>
              <w:t>Submitter position/title</w:t>
            </w:r>
          </w:p>
        </w:tc>
        <w:tc>
          <w:tcPr>
            <w:tcW w:w="6385" w:type="dxa"/>
          </w:tcPr>
          <w:p w14:paraId="2D858DED" w14:textId="6EAE171F" w:rsidR="0079453D" w:rsidRDefault="0079453D" w:rsidP="0079453D">
            <w:pPr>
              <w:jc w:val="left"/>
              <w:cnfStyle w:val="000000100000" w:firstRow="0" w:lastRow="0" w:firstColumn="0" w:lastColumn="0" w:oddVBand="0" w:evenVBand="0" w:oddHBand="1" w:evenHBand="0" w:firstRowFirstColumn="0" w:firstRowLastColumn="0" w:lastRowFirstColumn="0" w:lastRowLastColumn="0"/>
            </w:pPr>
            <w:r>
              <w:t>Assistant Professor of English</w:t>
            </w:r>
          </w:p>
        </w:tc>
      </w:tr>
    </w:tbl>
    <w:p w14:paraId="1E770D30" w14:textId="77777777" w:rsidR="004B10B8" w:rsidRDefault="00725343" w:rsidP="00725343">
      <w:pPr>
        <w:jc w:val="left"/>
      </w:pPr>
      <w:r>
        <w:br/>
      </w:r>
    </w:p>
    <w:p w14:paraId="2E919FE5" w14:textId="20A2BE9B" w:rsidR="00725343" w:rsidRDefault="00725343" w:rsidP="00725343">
      <w:pPr>
        <w:jc w:val="left"/>
      </w:pPr>
      <w: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976C18"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15E8BFEF" w:rsidR="00976C18" w:rsidRDefault="00976C18" w:rsidP="00976C18">
            <w:pPr>
              <w:jc w:val="left"/>
            </w:pPr>
            <w:r>
              <w:t>Team member 1</w:t>
            </w:r>
          </w:p>
        </w:tc>
        <w:tc>
          <w:tcPr>
            <w:tcW w:w="3117" w:type="dxa"/>
          </w:tcPr>
          <w:p w14:paraId="393FFEE9" w14:textId="1D17EA26" w:rsidR="00976C18" w:rsidRDefault="00976C18" w:rsidP="00976C18">
            <w:pPr>
              <w:jc w:val="left"/>
              <w:cnfStyle w:val="000000100000" w:firstRow="0" w:lastRow="0" w:firstColumn="0" w:lastColumn="0" w:oddVBand="0" w:evenVBand="0" w:oddHBand="1" w:evenHBand="0" w:firstRowFirstColumn="0" w:firstRowLastColumn="0" w:lastRowFirstColumn="0" w:lastRowLastColumn="0"/>
            </w:pPr>
            <w:r>
              <w:t xml:space="preserve">Erin </w:t>
            </w:r>
            <w:proofErr w:type="spellStart"/>
            <w:r>
              <w:t>Bahl</w:t>
            </w:r>
            <w:proofErr w:type="spellEnd"/>
          </w:p>
        </w:tc>
        <w:tc>
          <w:tcPr>
            <w:tcW w:w="3117" w:type="dxa"/>
          </w:tcPr>
          <w:p w14:paraId="672314AC" w14:textId="397E81BB" w:rsidR="00976C18" w:rsidRDefault="00976C18" w:rsidP="00976C18">
            <w:pPr>
              <w:jc w:val="left"/>
              <w:cnfStyle w:val="000000100000" w:firstRow="0" w:lastRow="0" w:firstColumn="0" w:lastColumn="0" w:oddVBand="0" w:evenVBand="0" w:oddHBand="1" w:evenHBand="0" w:firstRowFirstColumn="0" w:firstRowLastColumn="0" w:lastRowFirstColumn="0" w:lastRowLastColumn="0"/>
            </w:pPr>
            <w:r>
              <w:t>ebahl@kennesaw.edu</w:t>
            </w:r>
          </w:p>
        </w:tc>
      </w:tr>
      <w:tr w:rsidR="00976C18"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5223CFCF" w:rsidR="00976C18" w:rsidRDefault="00976C18" w:rsidP="00976C18">
            <w:pPr>
              <w:jc w:val="left"/>
            </w:pPr>
            <w:r>
              <w:t>Team member 2</w:t>
            </w:r>
          </w:p>
        </w:tc>
        <w:tc>
          <w:tcPr>
            <w:tcW w:w="3117" w:type="dxa"/>
          </w:tcPr>
          <w:p w14:paraId="6ECBEB99" w14:textId="42E81795" w:rsidR="00976C18" w:rsidRDefault="00976C18" w:rsidP="00976C18">
            <w:pPr>
              <w:jc w:val="left"/>
              <w:cnfStyle w:val="000000000000" w:firstRow="0" w:lastRow="0" w:firstColumn="0" w:lastColumn="0" w:oddVBand="0" w:evenVBand="0" w:oddHBand="0" w:evenHBand="0" w:firstRowFirstColumn="0" w:firstRowLastColumn="0" w:lastRowFirstColumn="0" w:lastRowLastColumn="0"/>
            </w:pPr>
            <w:r>
              <w:t>Stephen Bartlett</w:t>
            </w:r>
          </w:p>
        </w:tc>
        <w:tc>
          <w:tcPr>
            <w:tcW w:w="3117" w:type="dxa"/>
          </w:tcPr>
          <w:p w14:paraId="201A2C1F" w14:textId="5CDD91BC" w:rsidR="00976C18" w:rsidRDefault="00976C18" w:rsidP="00976C18">
            <w:pPr>
              <w:jc w:val="left"/>
              <w:cnfStyle w:val="000000000000" w:firstRow="0" w:lastRow="0" w:firstColumn="0" w:lastColumn="0" w:oddVBand="0" w:evenVBand="0" w:oddHBand="0" w:evenHBand="0" w:firstRowFirstColumn="0" w:firstRowLastColumn="0" w:lastRowFirstColumn="0" w:lastRowLastColumn="0"/>
            </w:pPr>
            <w:r>
              <w:t>sbartlet@kennesaw.edu</w:t>
            </w:r>
          </w:p>
        </w:tc>
      </w:tr>
      <w:tr w:rsidR="00976C18"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3D1A94CD" w:rsidR="00976C18" w:rsidRDefault="00976C18" w:rsidP="00976C18">
            <w:pPr>
              <w:jc w:val="left"/>
            </w:pPr>
            <w:r>
              <w:t>Team member 3</w:t>
            </w:r>
          </w:p>
        </w:tc>
        <w:tc>
          <w:tcPr>
            <w:tcW w:w="3117" w:type="dxa"/>
          </w:tcPr>
          <w:p w14:paraId="58D1278D" w14:textId="3FCB502B" w:rsidR="00976C18" w:rsidRDefault="00976C18" w:rsidP="00976C18">
            <w:pPr>
              <w:jc w:val="left"/>
              <w:cnfStyle w:val="000000100000" w:firstRow="0" w:lastRow="0" w:firstColumn="0" w:lastColumn="0" w:oddVBand="0" w:evenVBand="0" w:oddHBand="1" w:evenHBand="0" w:firstRowFirstColumn="0" w:firstRowLastColumn="0" w:lastRowFirstColumn="0" w:lastRowLastColumn="0"/>
            </w:pPr>
            <w:r>
              <w:t>Mary Margaret Cornwell</w:t>
            </w:r>
          </w:p>
        </w:tc>
        <w:tc>
          <w:tcPr>
            <w:tcW w:w="3117" w:type="dxa"/>
          </w:tcPr>
          <w:p w14:paraId="6AE73F29" w14:textId="75CF5756" w:rsidR="00976C18" w:rsidRDefault="00976C18" w:rsidP="00976C18">
            <w:pPr>
              <w:jc w:val="left"/>
              <w:cnfStyle w:val="000000100000" w:firstRow="0" w:lastRow="0" w:firstColumn="0" w:lastColumn="0" w:oddVBand="0" w:evenVBand="0" w:oddHBand="1" w:evenHBand="0" w:firstRowFirstColumn="0" w:firstRowLastColumn="0" w:lastRowFirstColumn="0" w:lastRowLastColumn="0"/>
            </w:pPr>
            <w:r>
              <w:t>mcornwe2@kennesaw.edu</w:t>
            </w:r>
          </w:p>
        </w:tc>
      </w:tr>
      <w:tr w:rsidR="00976C18"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4612BA9C" w:rsidR="00976C18" w:rsidRDefault="00976C18" w:rsidP="00976C18">
            <w:pPr>
              <w:jc w:val="left"/>
            </w:pPr>
            <w:r>
              <w:t>Team member 4</w:t>
            </w:r>
          </w:p>
        </w:tc>
        <w:tc>
          <w:tcPr>
            <w:tcW w:w="3117" w:type="dxa"/>
          </w:tcPr>
          <w:p w14:paraId="727D4DB5" w14:textId="578DD99F" w:rsidR="00976C18" w:rsidRDefault="00976C18" w:rsidP="00976C18">
            <w:pPr>
              <w:jc w:val="left"/>
              <w:cnfStyle w:val="000000000000" w:firstRow="0" w:lastRow="0" w:firstColumn="0" w:lastColumn="0" w:oddVBand="0" w:evenVBand="0" w:oddHBand="0" w:evenHBand="0" w:firstRowFirstColumn="0" w:firstRowLastColumn="0" w:lastRowFirstColumn="0" w:lastRowLastColumn="0"/>
            </w:pPr>
            <w:r>
              <w:t>Laura Howard</w:t>
            </w:r>
          </w:p>
        </w:tc>
        <w:tc>
          <w:tcPr>
            <w:tcW w:w="3117" w:type="dxa"/>
          </w:tcPr>
          <w:p w14:paraId="4C1B1044" w14:textId="77E298A0" w:rsidR="00976C18" w:rsidRDefault="00976C18" w:rsidP="00976C18">
            <w:pPr>
              <w:jc w:val="left"/>
              <w:cnfStyle w:val="000000000000" w:firstRow="0" w:lastRow="0" w:firstColumn="0" w:lastColumn="0" w:oddVBand="0" w:evenVBand="0" w:oddHBand="0" w:evenHBand="0" w:firstRowFirstColumn="0" w:firstRowLastColumn="0" w:lastRowFirstColumn="0" w:lastRowLastColumn="0"/>
            </w:pPr>
            <w:r>
              <w:t>lhowar40@kennesaw.edu</w:t>
            </w:r>
          </w:p>
        </w:tc>
      </w:tr>
      <w:tr w:rsidR="00976C18"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8DC65A5" w:rsidR="00976C18" w:rsidRDefault="00976C18" w:rsidP="00976C18">
            <w:pPr>
              <w:jc w:val="left"/>
            </w:pPr>
            <w:r>
              <w:t>Team member 5</w:t>
            </w:r>
          </w:p>
        </w:tc>
        <w:tc>
          <w:tcPr>
            <w:tcW w:w="3117" w:type="dxa"/>
          </w:tcPr>
          <w:p w14:paraId="39B8BCB1" w14:textId="4A343439" w:rsidR="00976C18" w:rsidRDefault="00976C18" w:rsidP="00976C18">
            <w:pPr>
              <w:jc w:val="left"/>
              <w:cnfStyle w:val="000000100000" w:firstRow="0" w:lastRow="0" w:firstColumn="0" w:lastColumn="0" w:oddVBand="0" w:evenVBand="0" w:oddHBand="1" w:evenHBand="0" w:firstRowFirstColumn="0" w:firstRowLastColumn="0" w:lastRowFirstColumn="0" w:lastRowLastColumn="0"/>
            </w:pPr>
            <w:r>
              <w:t xml:space="preserve">Jason </w:t>
            </w:r>
            <w:proofErr w:type="spellStart"/>
            <w:r>
              <w:t>Rodenbeck</w:t>
            </w:r>
            <w:proofErr w:type="spellEnd"/>
          </w:p>
        </w:tc>
        <w:tc>
          <w:tcPr>
            <w:tcW w:w="3117" w:type="dxa"/>
          </w:tcPr>
          <w:p w14:paraId="7F2B98F4" w14:textId="4FC43AE9" w:rsidR="00976C18" w:rsidRDefault="00976C18" w:rsidP="00976C18">
            <w:pPr>
              <w:jc w:val="left"/>
              <w:cnfStyle w:val="000000100000" w:firstRow="0" w:lastRow="0" w:firstColumn="0" w:lastColumn="0" w:oddVBand="0" w:evenVBand="0" w:oddHBand="1" w:evenHBand="0" w:firstRowFirstColumn="0" w:firstRowLastColumn="0" w:lastRowFirstColumn="0" w:lastRowLastColumn="0"/>
            </w:pPr>
            <w:r>
              <w:t>jrodenb1@kennesaw.edu</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07BD536" w14:textId="7FFADDD6" w:rsidR="001D63D5" w:rsidRPr="004B10B8"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pPr>
            <w:r w:rsidRPr="004B10B8">
              <w:t>Creation of ancillaries for</w:t>
            </w:r>
            <w:r w:rsidR="2AFB1B8E" w:rsidRPr="004B10B8">
              <w:t xml:space="preserve"> existing OER courses</w:t>
            </w:r>
          </w:p>
          <w:p w14:paraId="533B2A7E" w14:textId="7661D549" w:rsidR="0055284A" w:rsidRPr="0064266E" w:rsidRDefault="0055284A" w:rsidP="007B3999">
            <w:pPr>
              <w:pStyle w:val="ListParagraph"/>
              <w:jc w:val="left"/>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6A97D0DC" w:rsidR="007F6B0C" w:rsidRPr="004C6D54" w:rsidRDefault="0077645F" w:rsidP="6BF9256F">
            <w:pPr>
              <w:jc w:val="left"/>
              <w:cnfStyle w:val="000000000000" w:firstRow="0" w:lastRow="0" w:firstColumn="0" w:lastColumn="0" w:oddVBand="0" w:evenVBand="0" w:oddHBand="0" w:evenHBand="0" w:firstRowFirstColumn="0" w:firstRowLastColumn="0" w:lastRowFirstColumn="0" w:lastRowLastColumn="0"/>
              <w:rPr>
                <w:i/>
                <w:iCs/>
              </w:rPr>
            </w:pPr>
            <w:r>
              <w:t>$10,000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21A86B3C" w:rsidR="0055284A" w:rsidRDefault="0077645F" w:rsidP="0055284A">
            <w:pPr>
              <w:jc w:val="left"/>
              <w:cnfStyle w:val="000000100000" w:firstRow="0" w:lastRow="0" w:firstColumn="0" w:lastColumn="0" w:oddVBand="0" w:evenVBand="0" w:oddHBand="1" w:evenHBand="0" w:firstRowFirstColumn="0" w:firstRowLastColumn="0" w:lastRowFirstColumn="0" w:lastRowLastColumn="0"/>
            </w:pPr>
            <w:r>
              <w:t>(see “Project Goals” section below)</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35AA39BD" w:rsidR="0005153C" w:rsidRPr="00D10126" w:rsidRDefault="0005153C"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Spring 2023</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071A2AD2" w:rsidR="00AF3D7E" w:rsidRPr="009531D8" w:rsidRDefault="00AF3D7E" w:rsidP="6BF9256F">
            <w:pPr>
              <w:jc w:val="left"/>
              <w:rPr>
                <w:b w:val="0"/>
                <w:bCs w:val="0"/>
                <w:i/>
                <w:iCs/>
              </w:rPr>
            </w:pPr>
          </w:p>
        </w:tc>
        <w:tc>
          <w:tcPr>
            <w:tcW w:w="5392" w:type="dxa"/>
          </w:tcPr>
          <w:p w14:paraId="666E4FEA" w14:textId="72DC8E8E" w:rsidR="00AF3D7E" w:rsidRPr="0064266E" w:rsidDel="00B72091" w:rsidRDefault="003E12A1" w:rsidP="0064266E">
            <w:pPr>
              <w:jc w:val="left"/>
              <w:cnfStyle w:val="000000100000" w:firstRow="0" w:lastRow="0" w:firstColumn="0" w:lastColumn="0" w:oddVBand="0" w:evenVBand="0" w:oddHBand="1" w:evenHBand="0" w:firstRowFirstColumn="0" w:firstRowLastColumn="0" w:lastRowFirstColumn="0" w:lastRowLastColumn="0"/>
              <w:rPr>
                <w:iCs/>
              </w:rPr>
            </w:pPr>
            <w:r>
              <w:rPr>
                <w:iCs/>
              </w:rPr>
              <w:t xml:space="preserve">n/a (creation of new </w:t>
            </w:r>
            <w:r w:rsidR="004B10B8">
              <w:rPr>
                <w:iCs/>
              </w:rPr>
              <w:t xml:space="preserve">open-access </w:t>
            </w:r>
            <w:r>
              <w:rPr>
                <w:iCs/>
              </w:rPr>
              <w:t xml:space="preserve">supplementary materials to address an identified gap </w:t>
            </w:r>
            <w:r w:rsidR="004B10B8">
              <w:rPr>
                <w:iCs/>
              </w:rPr>
              <w:t>in available resources</w:t>
            </w:r>
            <w:r>
              <w:rPr>
                <w:iCs/>
              </w:rPr>
              <w:t>)</w:t>
            </w:r>
          </w:p>
        </w:tc>
      </w:tr>
    </w:tbl>
    <w:p w14:paraId="11C20E33" w14:textId="77777777" w:rsidR="00D0176E" w:rsidRDefault="00D0176E" w:rsidP="0064266E">
      <w:pPr>
        <w:pStyle w:val="Heading1"/>
      </w:pPr>
    </w:p>
    <w:p w14:paraId="56E92DFB" w14:textId="791BCB26" w:rsidR="001F5AEB" w:rsidRPr="00980EE8" w:rsidRDefault="000D3A53" w:rsidP="00980EE8">
      <w:pPr>
        <w:pStyle w:val="Heading1"/>
      </w:pPr>
      <w:r>
        <w:t xml:space="preserve">Project </w:t>
      </w:r>
      <w:r w:rsidR="64C134B0">
        <w:t>Goals</w:t>
      </w:r>
    </w:p>
    <w:p w14:paraId="1E07EE70" w14:textId="7377D311" w:rsidR="001F5AEB" w:rsidRPr="00171205" w:rsidRDefault="001F5AEB" w:rsidP="001F5AEB">
      <w:pPr>
        <w:jc w:val="left"/>
        <w:rPr>
          <w:iCs/>
        </w:rPr>
      </w:pPr>
      <w:r w:rsidRPr="00171205">
        <w:rPr>
          <w:iCs/>
        </w:rPr>
        <w:t>This proposal builds on initial research and collaboration developed through the support of a Disability Strategies and Resources Diversity Faculty Fellowship awarded by Kennesaw State University’s Division of Diverse and Inclusive Excellence.</w:t>
      </w:r>
    </w:p>
    <w:p w14:paraId="3153135C" w14:textId="77777777" w:rsidR="001F5AEB" w:rsidRPr="00171205" w:rsidRDefault="001F5AEB" w:rsidP="001F5AEB">
      <w:pPr>
        <w:rPr>
          <w:iCs/>
        </w:rPr>
      </w:pPr>
      <w:r w:rsidRPr="00171205">
        <w:rPr>
          <w:iCs/>
        </w:rPr>
        <w:t>Building a culture of accessibility in which university writers actively work toward inclusion (rather than meeting minimal obligations) is a key concern for the field of writing studies (CCCC Position Statement, “</w:t>
      </w:r>
      <w:hyperlink r:id="rId12">
        <w:r w:rsidRPr="00171205">
          <w:rPr>
            <w:iCs/>
            <w:color w:val="1155CC"/>
            <w:u w:val="single"/>
          </w:rPr>
          <w:t>Disability studies in composition: Position statement on policy and best practices</w:t>
        </w:r>
      </w:hyperlink>
      <w:r w:rsidRPr="00171205">
        <w:rPr>
          <w:iCs/>
        </w:rPr>
        <w:t xml:space="preserve">,” March 2020; see also </w:t>
      </w:r>
      <w:proofErr w:type="spellStart"/>
      <w:r w:rsidRPr="00171205">
        <w:rPr>
          <w:iCs/>
        </w:rPr>
        <w:t>Lewiecki</w:t>
      </w:r>
      <w:proofErr w:type="spellEnd"/>
      <w:r w:rsidRPr="00171205">
        <w:rPr>
          <w:iCs/>
        </w:rPr>
        <w:t>-Wilson and Brueggemann, Disability and the Teaching of Writing, 2007.) Designing accessible online course environments is essential to support student success in university learning communities, and is a legal responsibility for federally funded educational institutions (KSU Digital Learning Innovations, “</w:t>
      </w:r>
      <w:hyperlink r:id="rId13">
        <w:r w:rsidRPr="00171205">
          <w:rPr>
            <w:iCs/>
            <w:color w:val="1155CC"/>
            <w:u w:val="single"/>
          </w:rPr>
          <w:t>What is Online Accessibility</w:t>
        </w:r>
      </w:hyperlink>
      <w:r w:rsidRPr="00171205">
        <w:rPr>
          <w:iCs/>
        </w:rPr>
        <w:t>?”, n.d.). Furthermore, as the Web Accessibility Initiative for the World Wide Web Consortium notes, “Making the web accessible benefits individuals, businesses, and society” (W3C WAI, “</w:t>
      </w:r>
      <w:hyperlink r:id="rId14">
        <w:r w:rsidRPr="00171205">
          <w:rPr>
            <w:iCs/>
            <w:color w:val="1155CC"/>
            <w:u w:val="single"/>
          </w:rPr>
          <w:t>Introduction to Web Accessibility</w:t>
        </w:r>
      </w:hyperlink>
      <w:r w:rsidRPr="00171205">
        <w:rPr>
          <w:iCs/>
        </w:rPr>
        <w:t>,” 2021), which means writing and designing accessible online content is an important skill to learn for emerging professionals such as university students.</w:t>
      </w:r>
    </w:p>
    <w:p w14:paraId="5B1A6DA3" w14:textId="77777777" w:rsidR="001F5AEB" w:rsidRPr="00171205" w:rsidRDefault="001F5AEB" w:rsidP="001F5AEB">
      <w:pPr>
        <w:rPr>
          <w:iCs/>
        </w:rPr>
      </w:pPr>
      <w:r w:rsidRPr="00171205">
        <w:rPr>
          <w:iCs/>
        </w:rPr>
        <w:t>The need for accessible learning environments (including online course spaces) is longstanding and ongoing, especially for students and faculty with disabilities. However, recent widespread shifts to online learning in light of the ongoing COVID-19 pandemic have exacerbated this need in ways that put additional pressure on students with disabilities and foregrounded the necessity of building accessible digital resources from the start (</w:t>
      </w:r>
      <w:proofErr w:type="spellStart"/>
      <w:r w:rsidRPr="00171205">
        <w:rPr>
          <w:iCs/>
        </w:rPr>
        <w:t>Runde</w:t>
      </w:r>
      <w:proofErr w:type="spellEnd"/>
      <w:r w:rsidRPr="00171205">
        <w:rPr>
          <w:iCs/>
        </w:rPr>
        <w:t>, “</w:t>
      </w:r>
      <w:hyperlink r:id="rId15">
        <w:r w:rsidRPr="00171205">
          <w:rPr>
            <w:iCs/>
            <w:color w:val="1155CC"/>
            <w:u w:val="single"/>
          </w:rPr>
          <w:t>Digital Accessibility: A Pandemic Look Back—And Forward,</w:t>
        </w:r>
      </w:hyperlink>
      <w:r w:rsidRPr="00171205">
        <w:rPr>
          <w:iCs/>
        </w:rPr>
        <w:t xml:space="preserve">” November 2021). </w:t>
      </w:r>
    </w:p>
    <w:p w14:paraId="1FECEF6B" w14:textId="77777777" w:rsidR="001F5AEB" w:rsidRPr="00171205" w:rsidRDefault="001F5AEB" w:rsidP="001F5AEB">
      <w:pPr>
        <w:rPr>
          <w:iCs/>
        </w:rPr>
      </w:pPr>
      <w:r w:rsidRPr="00171205">
        <w:rPr>
          <w:iCs/>
        </w:rPr>
        <w:t xml:space="preserve">The goal of this project is to create a resource that helps students write and design accessible online course content. We anticipate launching this resource first in professional writing courses, but we envision its potential for its application and adoption in courses across the university in which online writing and content creation play a role. </w:t>
      </w:r>
    </w:p>
    <w:p w14:paraId="5FA9903F" w14:textId="5CA786A7" w:rsidR="001F5AEB" w:rsidRDefault="001F5AEB" w:rsidP="001F5AEB">
      <w:pPr>
        <w:rPr>
          <w:iCs/>
        </w:rPr>
      </w:pPr>
      <w:r w:rsidRPr="00171205">
        <w:rPr>
          <w:iCs/>
        </w:rPr>
        <w:t xml:space="preserve">The proposal team will create a course resource that serves as a supplement to support the development of accessible online learning environments, rather than a replacement of a specific course textbook or delivery of </w:t>
      </w:r>
      <w:proofErr w:type="gramStart"/>
      <w:r w:rsidRPr="00171205">
        <w:rPr>
          <w:iCs/>
        </w:rPr>
        <w:t>particular course-specific</w:t>
      </w:r>
      <w:proofErr w:type="gramEnd"/>
      <w:r w:rsidRPr="00171205">
        <w:rPr>
          <w:iCs/>
        </w:rPr>
        <w:t xml:space="preserve"> content. Specifically, the proposed course resource will help students practice accessible online writing and design as part of their participation in online courses through tutorials on how to create structured documents, image descriptions, video captions, and audio descriptions. This resource is intended to foster a culture of accessibility in professional writing classes and university learning communities more broadly, so that all course members can contribute to creating accessible learning environments. The resource will be organized according to the following table of contents:</w:t>
      </w:r>
    </w:p>
    <w:p w14:paraId="21E5A37D" w14:textId="3A4D63F8" w:rsidR="00D0176E" w:rsidRDefault="00D0176E" w:rsidP="001F5AEB">
      <w:pPr>
        <w:rPr>
          <w:iCs/>
        </w:rPr>
      </w:pPr>
    </w:p>
    <w:p w14:paraId="460101FA" w14:textId="77777777" w:rsidR="00980EE8" w:rsidRPr="00171205" w:rsidRDefault="00980EE8" w:rsidP="001F5AEB">
      <w:pPr>
        <w:rPr>
          <w:iCs/>
        </w:rPr>
      </w:pPr>
    </w:p>
    <w:p w14:paraId="0D00D60A" w14:textId="77777777" w:rsidR="00EC0074" w:rsidRDefault="00EC0074" w:rsidP="00EC0074">
      <w:pPr>
        <w:pStyle w:val="ListParagraph"/>
        <w:numPr>
          <w:ilvl w:val="0"/>
          <w:numId w:val="12"/>
        </w:numPr>
      </w:pPr>
      <w:r>
        <w:lastRenderedPageBreak/>
        <w:t>Intro</w:t>
      </w:r>
      <w:r>
        <w:t>duction</w:t>
      </w:r>
    </w:p>
    <w:p w14:paraId="6F8A59F3" w14:textId="443FB8DA" w:rsidR="00EC0074" w:rsidRDefault="00EC0074" w:rsidP="00EC0074">
      <w:pPr>
        <w:pStyle w:val="ListParagraph"/>
        <w:numPr>
          <w:ilvl w:val="1"/>
          <w:numId w:val="12"/>
        </w:numPr>
      </w:pPr>
      <w:r>
        <w:t xml:space="preserve">Includes </w:t>
      </w:r>
      <w:r>
        <w:t>accessibility rationale and explanation of benefit and limitations of AI tools</w:t>
      </w:r>
    </w:p>
    <w:p w14:paraId="29A9BEE2" w14:textId="3CED2167" w:rsidR="00EC0074" w:rsidRDefault="00EC0074" w:rsidP="00EC0074">
      <w:pPr>
        <w:pStyle w:val="ListParagraph"/>
        <w:numPr>
          <w:ilvl w:val="0"/>
          <w:numId w:val="12"/>
        </w:numPr>
      </w:pPr>
      <w:r>
        <w:t>Section</w:t>
      </w:r>
      <w:r>
        <w:t xml:space="preserve"> 1: Media</w:t>
      </w:r>
    </w:p>
    <w:p w14:paraId="700CA476" w14:textId="203FB3B0" w:rsidR="00EC0074" w:rsidRDefault="00EC0074" w:rsidP="00EC0074">
      <w:pPr>
        <w:pStyle w:val="ListParagraph"/>
        <w:numPr>
          <w:ilvl w:val="0"/>
          <w:numId w:val="12"/>
        </w:numPr>
      </w:pPr>
      <w:r>
        <w:t xml:space="preserve">Section </w:t>
      </w:r>
      <w:r>
        <w:t>2: Word and PPT</w:t>
      </w:r>
    </w:p>
    <w:p w14:paraId="300E4432" w14:textId="5E456CE2" w:rsidR="00EC0074" w:rsidRDefault="00EC0074" w:rsidP="00EC0074">
      <w:pPr>
        <w:pStyle w:val="ListParagraph"/>
        <w:numPr>
          <w:ilvl w:val="0"/>
          <w:numId w:val="12"/>
        </w:numPr>
      </w:pPr>
      <w:r>
        <w:t>Section</w:t>
      </w:r>
      <w:r>
        <w:t xml:space="preserve"> 3: Html and Web</w:t>
      </w:r>
    </w:p>
    <w:p w14:paraId="2E5AF96C" w14:textId="7D007CB6" w:rsidR="00EC0074" w:rsidRDefault="00EC0074" w:rsidP="00EC0074">
      <w:pPr>
        <w:pStyle w:val="ListParagraph"/>
        <w:numPr>
          <w:ilvl w:val="0"/>
          <w:numId w:val="12"/>
        </w:numPr>
      </w:pPr>
      <w:r>
        <w:t>Section</w:t>
      </w:r>
      <w:r>
        <w:t xml:space="preserve"> 4: PDF</w:t>
      </w:r>
    </w:p>
    <w:p w14:paraId="1E3A8D69" w14:textId="77777777" w:rsidR="00EC0074" w:rsidRDefault="00EC0074" w:rsidP="00EC0074">
      <w:pPr>
        <w:pStyle w:val="ListParagraph"/>
        <w:numPr>
          <w:ilvl w:val="0"/>
          <w:numId w:val="12"/>
        </w:numPr>
      </w:pPr>
      <w:r>
        <w:t>Conclusion</w:t>
      </w:r>
    </w:p>
    <w:p w14:paraId="1E839D4A" w14:textId="18B621C7" w:rsidR="001F5AEB" w:rsidRPr="00171205" w:rsidRDefault="001F5AEB" w:rsidP="00EC0074">
      <w:pPr>
        <w:rPr>
          <w:iCs/>
        </w:rPr>
      </w:pPr>
      <w:r w:rsidRPr="00171205">
        <w:rPr>
          <w:iCs/>
        </w:rPr>
        <w:t>Along with facilitating the creation of accessible online learning environments for all course participants, part of the resource’s transformative value lies in educating all university students about accessibility as part of a larger paradigm shift toward broader inclusivity.  If students are writing for accessibility, it helps mainstream the effort, and may also help to counter potential faculty resistance to the need for accessible course design. Not only will this resource help students while at KSU, but it will also engrain the importance of accessible design outside of the classroom. Additionally, creating this resource for student use and marketing it to their professors will hopefully get faculty to think about accessibility in their course design.</w:t>
      </w:r>
    </w:p>
    <w:p w14:paraId="43130599" w14:textId="7E2D8A74" w:rsidR="001F5AEB" w:rsidRDefault="001F5AEB" w:rsidP="001F5AEB">
      <w:pPr>
        <w:jc w:val="left"/>
        <w:rPr>
          <w:iCs/>
        </w:rPr>
      </w:pPr>
      <w:r w:rsidRPr="00171205">
        <w:rPr>
          <w:iCs/>
        </w:rPr>
        <w:t xml:space="preserve">This resource is intended to support a fundamental, transformational shift in pedagogy that builds in accessibility from the very beginning into the ways all course participants engage in the course, rather than putting the responsibility solely on the individual learner to express their access needs or on the faculty member to retrofit the course on a case-by-case basis. This resource will contribute to student success by helping make global course content more accessible to all learners with diverse learning and access needs. Furthermore, this resource will contribute to student success in future professional environments by preparing them to write and design content that can be accessed by as many audience members as possible—an important skill and responsibility in any professional environment. </w:t>
      </w:r>
    </w:p>
    <w:p w14:paraId="0D64C143" w14:textId="77777777" w:rsidR="001F5AEB" w:rsidRPr="00171205" w:rsidRDefault="001F5AEB" w:rsidP="001F5AEB">
      <w:pPr>
        <w:rPr>
          <w:iCs/>
        </w:rPr>
      </w:pPr>
      <w:r w:rsidRPr="00171205">
        <w:rPr>
          <w:iCs/>
        </w:rPr>
        <w:t xml:space="preserve">Although there are </w:t>
      </w:r>
      <w:proofErr w:type="gramStart"/>
      <w:r w:rsidRPr="00171205">
        <w:rPr>
          <w:iCs/>
        </w:rPr>
        <w:t>a number of</w:t>
      </w:r>
      <w:proofErr w:type="gramEnd"/>
      <w:r w:rsidRPr="00171205">
        <w:rPr>
          <w:iCs/>
        </w:rPr>
        <w:t xml:space="preserve"> tutorials and resources available for faculty and general audiences learning to practice accessible writing and content design, there are few resources tailored specifically to students, and these tend to be buried in places online that students may not typically visit. The proposed project will serve as an in-depth, focused, centralized, easy-to-access resource that combines these varying tutorials into a single location with a student-oriented rhetorical framing that faculty members can share to supplement instruction in their courses. As an illustrative anecdote, one proposal team member is working with a faculty member this semester who is in the position to create accessible documents for a student using a screen reader. This context encouraged the faculty member to consider redesigning course participation activities, such as a group project in which students critique one another’s work.  When pedagogical practices include collaborative work, this resource will support students’ abilities to write in ways that their colleagues can access.</w:t>
      </w:r>
    </w:p>
    <w:p w14:paraId="6D56CF46" w14:textId="77777777" w:rsidR="001F5AEB" w:rsidRPr="00171205" w:rsidRDefault="001F5AEB" w:rsidP="001F5AEB">
      <w:pPr>
        <w:jc w:val="left"/>
        <w:rPr>
          <w:iCs/>
        </w:rPr>
      </w:pPr>
      <w:r w:rsidRPr="00171205">
        <w:rPr>
          <w:iCs/>
        </w:rPr>
        <w:t xml:space="preserve">The project will serve as an introduction to accessible writing and design for students that adapts a student-oriented version of Kennesaw State University’s faculty responsibilities for academic web accessibility, narrowed down to the most likely modes of student content creation and engagement: image description, audio transcription, video captions, and </w:t>
      </w:r>
      <w:r w:rsidRPr="00171205">
        <w:rPr>
          <w:iCs/>
        </w:rPr>
        <w:lastRenderedPageBreak/>
        <w:t xml:space="preserve">structured documents. Each chapter will provide a clear overview of the focal accessibility channel and how to practice it in relevant composing platforms, along with examples and links to relevant resources, guidelines, and narratives of student experiences. The goal is to create an easy-to-use reference guide that can be taken up in </w:t>
      </w:r>
      <w:proofErr w:type="gramStart"/>
      <w:r w:rsidRPr="00171205">
        <w:rPr>
          <w:iCs/>
        </w:rPr>
        <w:t>a number of</w:t>
      </w:r>
      <w:proofErr w:type="gramEnd"/>
      <w:r w:rsidRPr="00171205">
        <w:rPr>
          <w:iCs/>
        </w:rPr>
        <w:t xml:space="preserve"> courses depending on the kind of content course participants will be creating and sharing. </w:t>
      </w:r>
    </w:p>
    <w:p w14:paraId="681C77CD" w14:textId="77777777" w:rsidR="001F5AEB" w:rsidRPr="00263600" w:rsidRDefault="001F5AEB" w:rsidP="001F5AEB">
      <w:pPr>
        <w:rPr>
          <w:i/>
        </w:rPr>
      </w:pPr>
      <w:r w:rsidRPr="00263600">
        <w:rPr>
          <w:b/>
          <w:bCs/>
          <w:i/>
        </w:rPr>
        <w:t xml:space="preserve">Note from </w:t>
      </w:r>
      <w:r>
        <w:rPr>
          <w:b/>
          <w:bCs/>
          <w:i/>
        </w:rPr>
        <w:t>Proposal Team</w:t>
      </w:r>
      <w:r w:rsidRPr="00263600">
        <w:rPr>
          <w:b/>
          <w:bCs/>
          <w:i/>
        </w:rPr>
        <w:t>:</w:t>
      </w:r>
      <w:r w:rsidRPr="00263600">
        <w:rPr>
          <w:i/>
        </w:rPr>
        <w:t xml:space="preserve"> Because our proposal focuses on developing a new supplemental resource for use in classes across multiple departments (rather than replacing a textbook for a specific course), we offer illustrative examples of possible courses in which this resource would be especially relevant. We view the major transformational impact of our proposed resource as supporting a campus-wide culture of accessible learning environments, rather than primarily financial cost savings. </w:t>
      </w:r>
    </w:p>
    <w:p w14:paraId="272CD422" w14:textId="77777777" w:rsidR="001F5AEB" w:rsidRPr="00263600" w:rsidRDefault="001F5AEB" w:rsidP="001F5AEB">
      <w:pPr>
        <w:numPr>
          <w:ilvl w:val="0"/>
          <w:numId w:val="15"/>
        </w:numPr>
        <w:spacing w:after="0"/>
      </w:pPr>
      <w:r w:rsidRPr="00263600">
        <w:t>ENGL 1101: Composition I</w:t>
      </w:r>
    </w:p>
    <w:p w14:paraId="7DD2DBF6" w14:textId="77777777" w:rsidR="001F5AEB" w:rsidRPr="00263600" w:rsidRDefault="001F5AEB" w:rsidP="001F5AEB">
      <w:pPr>
        <w:numPr>
          <w:ilvl w:val="0"/>
          <w:numId w:val="15"/>
        </w:numPr>
        <w:spacing w:after="0"/>
      </w:pPr>
      <w:r w:rsidRPr="00263600">
        <w:t>ENGL 1102: Composition II</w:t>
      </w:r>
    </w:p>
    <w:p w14:paraId="1D4D74BD" w14:textId="77777777" w:rsidR="001F5AEB" w:rsidRPr="00263600" w:rsidRDefault="001F5AEB" w:rsidP="001F5AEB">
      <w:pPr>
        <w:numPr>
          <w:ilvl w:val="0"/>
          <w:numId w:val="15"/>
        </w:numPr>
        <w:spacing w:after="0"/>
      </w:pPr>
      <w:r w:rsidRPr="00263600">
        <w:t>WRIT 3111: Professional Editing</w:t>
      </w:r>
    </w:p>
    <w:p w14:paraId="3F84409D" w14:textId="77777777" w:rsidR="001F5AEB" w:rsidRPr="00263600" w:rsidRDefault="001F5AEB" w:rsidP="001F5AEB">
      <w:pPr>
        <w:numPr>
          <w:ilvl w:val="0"/>
          <w:numId w:val="15"/>
        </w:numPr>
        <w:spacing w:after="0"/>
      </w:pPr>
      <w:r w:rsidRPr="00263600">
        <w:t>WRIT 3140: Workplace Writing</w:t>
      </w:r>
    </w:p>
    <w:p w14:paraId="4FAFAB97" w14:textId="77777777" w:rsidR="001F5AEB" w:rsidRPr="00263600" w:rsidRDefault="001F5AEB" w:rsidP="001F5AEB">
      <w:pPr>
        <w:numPr>
          <w:ilvl w:val="0"/>
          <w:numId w:val="15"/>
        </w:numPr>
        <w:spacing w:after="0"/>
      </w:pPr>
      <w:r w:rsidRPr="00263600">
        <w:t>PRWR 6440: Professional and Academic Editing</w:t>
      </w:r>
    </w:p>
    <w:p w14:paraId="2156908E" w14:textId="77777777" w:rsidR="001F5AEB" w:rsidRPr="00263600" w:rsidRDefault="001F5AEB" w:rsidP="001F5AEB">
      <w:pPr>
        <w:numPr>
          <w:ilvl w:val="0"/>
          <w:numId w:val="15"/>
        </w:numPr>
        <w:spacing w:after="0"/>
      </w:pPr>
      <w:r w:rsidRPr="00263600">
        <w:t>PRWR 6580: Writing for the Web</w:t>
      </w:r>
    </w:p>
    <w:p w14:paraId="10F4631E" w14:textId="77777777" w:rsidR="001F5AEB" w:rsidRPr="00263600" w:rsidRDefault="001F5AEB" w:rsidP="001F5AEB">
      <w:pPr>
        <w:numPr>
          <w:ilvl w:val="0"/>
          <w:numId w:val="15"/>
        </w:numPr>
        <w:spacing w:after="0"/>
      </w:pPr>
      <w:r w:rsidRPr="00263600">
        <w:t xml:space="preserve">PRWR 6570: Writing for </w:t>
      </w:r>
      <w:proofErr w:type="gramStart"/>
      <w:r w:rsidRPr="00263600">
        <w:t>Social Media</w:t>
      </w:r>
      <w:proofErr w:type="gramEnd"/>
    </w:p>
    <w:p w14:paraId="0A8B2CF9" w14:textId="77777777" w:rsidR="001F5AEB" w:rsidRPr="00263600" w:rsidRDefault="001F5AEB" w:rsidP="001F5AEB">
      <w:pPr>
        <w:numPr>
          <w:ilvl w:val="0"/>
          <w:numId w:val="15"/>
        </w:numPr>
        <w:spacing w:after="0"/>
      </w:pPr>
      <w:r w:rsidRPr="00263600">
        <w:t>TCID 2170: Introduction to Digital Media and Culture</w:t>
      </w:r>
    </w:p>
    <w:p w14:paraId="18491358" w14:textId="77777777" w:rsidR="001F5AEB" w:rsidRPr="00263600" w:rsidRDefault="001F5AEB" w:rsidP="001F5AEB">
      <w:pPr>
        <w:numPr>
          <w:ilvl w:val="0"/>
          <w:numId w:val="15"/>
        </w:numPr>
        <w:spacing w:after="0"/>
      </w:pPr>
      <w:r w:rsidRPr="00263600">
        <w:t>TCID 3100: Professional Development</w:t>
      </w:r>
    </w:p>
    <w:p w14:paraId="4677C400" w14:textId="77777777" w:rsidR="001F5AEB" w:rsidRPr="00263600" w:rsidRDefault="001F5AEB" w:rsidP="001F5AEB">
      <w:pPr>
        <w:numPr>
          <w:ilvl w:val="0"/>
          <w:numId w:val="15"/>
        </w:numPr>
        <w:spacing w:after="0"/>
      </w:pPr>
      <w:r w:rsidRPr="00263600">
        <w:t>TCOM 2010: Technical Writing</w:t>
      </w:r>
    </w:p>
    <w:p w14:paraId="7BA71434" w14:textId="77777777" w:rsidR="001F5AEB" w:rsidRPr="00263600" w:rsidRDefault="001F5AEB" w:rsidP="001F5AEB">
      <w:pPr>
        <w:numPr>
          <w:ilvl w:val="0"/>
          <w:numId w:val="15"/>
        </w:numPr>
        <w:spacing w:after="0"/>
      </w:pPr>
      <w:r w:rsidRPr="00263600">
        <w:t>TCOM 2030: Research in Technical Communication</w:t>
      </w:r>
    </w:p>
    <w:p w14:paraId="53BF17C9" w14:textId="77777777" w:rsidR="001F5AEB" w:rsidRPr="00263600" w:rsidRDefault="001F5AEB" w:rsidP="001F5AEB">
      <w:pPr>
        <w:numPr>
          <w:ilvl w:val="0"/>
          <w:numId w:val="15"/>
        </w:numPr>
        <w:spacing w:after="0"/>
      </w:pPr>
      <w:r w:rsidRPr="00263600">
        <w:t>TCOM 2050: Issues in Digital Accessibility</w:t>
      </w:r>
    </w:p>
    <w:p w14:paraId="65004E76" w14:textId="77777777" w:rsidR="001F5AEB" w:rsidRPr="00263600" w:rsidRDefault="001F5AEB" w:rsidP="001F5AEB">
      <w:pPr>
        <w:numPr>
          <w:ilvl w:val="0"/>
          <w:numId w:val="15"/>
        </w:numPr>
        <w:spacing w:after="0"/>
      </w:pPr>
      <w:r w:rsidRPr="00263600">
        <w:t>TCOM 3011: Technical Writing II</w:t>
      </w:r>
    </w:p>
    <w:p w14:paraId="57CEF9E7" w14:textId="77777777" w:rsidR="001F5AEB" w:rsidRPr="00263600" w:rsidRDefault="001F5AEB" w:rsidP="001F5AEB">
      <w:pPr>
        <w:numPr>
          <w:ilvl w:val="0"/>
          <w:numId w:val="15"/>
        </w:numPr>
        <w:spacing w:after="0"/>
      </w:pPr>
      <w:r w:rsidRPr="00263600">
        <w:t>COM 2135: Writing for Public Communication</w:t>
      </w:r>
    </w:p>
    <w:p w14:paraId="3A56087B" w14:textId="77777777" w:rsidR="001F5AEB" w:rsidRPr="00263600" w:rsidRDefault="001F5AEB" w:rsidP="001F5AEB">
      <w:pPr>
        <w:numPr>
          <w:ilvl w:val="0"/>
          <w:numId w:val="15"/>
        </w:numPr>
        <w:spacing w:after="0"/>
      </w:pPr>
      <w:r w:rsidRPr="00263600">
        <w:t>COM 2230: Introduction to Mass Communication</w:t>
      </w:r>
    </w:p>
    <w:p w14:paraId="1190304D" w14:textId="77777777" w:rsidR="001F5AEB" w:rsidRPr="00263600" w:rsidRDefault="001F5AEB" w:rsidP="001F5AEB">
      <w:pPr>
        <w:numPr>
          <w:ilvl w:val="0"/>
          <w:numId w:val="15"/>
        </w:numPr>
        <w:spacing w:after="0"/>
      </w:pPr>
      <w:r w:rsidRPr="00263600">
        <w:t>COM 3340: Digital Media Production</w:t>
      </w:r>
    </w:p>
    <w:p w14:paraId="38937E65" w14:textId="430430AE" w:rsidR="001F5AEB" w:rsidRPr="001F5AEB" w:rsidRDefault="001F5AEB" w:rsidP="001F5AEB">
      <w:pPr>
        <w:numPr>
          <w:ilvl w:val="0"/>
          <w:numId w:val="15"/>
        </w:numPr>
      </w:pPr>
      <w:r w:rsidRPr="00263600">
        <w:t>COM 3350: Editing for Today’s Media</w:t>
      </w:r>
    </w:p>
    <w:p w14:paraId="5A4B50C6" w14:textId="0448D4E3" w:rsidR="001F5AEB" w:rsidRPr="00980EE8" w:rsidRDefault="0013171A" w:rsidP="00980EE8">
      <w:pPr>
        <w:pStyle w:val="Heading1"/>
      </w:pPr>
      <w:r>
        <w:t>Action Plan</w:t>
      </w:r>
    </w:p>
    <w:p w14:paraId="100298C6" w14:textId="64598B8B" w:rsidR="001F5AEB" w:rsidRPr="00171205" w:rsidRDefault="001F5AEB" w:rsidP="001F5AEB">
      <w:pPr>
        <w:rPr>
          <w:iCs/>
        </w:rPr>
      </w:pPr>
      <w:r w:rsidRPr="00171205">
        <w:rPr>
          <w:iCs/>
        </w:rPr>
        <w:t>Each team member will contribute to the introduction, conclusion, and one of the central body chapters. Team members include the following individuals committed to accessible learning within their diverse roles at Kennesaw State University:</w:t>
      </w:r>
    </w:p>
    <w:p w14:paraId="4EAB96BB" w14:textId="77777777" w:rsidR="001F5AEB" w:rsidRPr="00171205" w:rsidRDefault="001F5AEB" w:rsidP="001F5AEB">
      <w:pPr>
        <w:numPr>
          <w:ilvl w:val="0"/>
          <w:numId w:val="16"/>
        </w:numPr>
        <w:spacing w:after="0"/>
        <w:rPr>
          <w:iCs/>
        </w:rPr>
      </w:pPr>
      <w:r w:rsidRPr="00171205">
        <w:rPr>
          <w:iCs/>
        </w:rPr>
        <w:t xml:space="preserve">Erin </w:t>
      </w:r>
      <w:proofErr w:type="spellStart"/>
      <w:r w:rsidRPr="00171205">
        <w:rPr>
          <w:iCs/>
        </w:rPr>
        <w:t>Bahl</w:t>
      </w:r>
      <w:proofErr w:type="spellEnd"/>
      <w:r w:rsidRPr="00171205">
        <w:rPr>
          <w:iCs/>
        </w:rPr>
        <w:t>, Assistant Professor of Applied and Professional Writing, English Department</w:t>
      </w:r>
    </w:p>
    <w:p w14:paraId="27C2639E" w14:textId="77777777" w:rsidR="001F5AEB" w:rsidRPr="00171205" w:rsidRDefault="001F5AEB" w:rsidP="001F5AEB">
      <w:pPr>
        <w:numPr>
          <w:ilvl w:val="0"/>
          <w:numId w:val="16"/>
        </w:numPr>
        <w:spacing w:after="0"/>
        <w:rPr>
          <w:iCs/>
        </w:rPr>
      </w:pPr>
      <w:r w:rsidRPr="00171205">
        <w:rPr>
          <w:iCs/>
        </w:rPr>
        <w:t>Stephen Bartlett, Associate Director of Digital Education and Senior Lecturer of History, Office of Digital Education</w:t>
      </w:r>
    </w:p>
    <w:p w14:paraId="67747C83" w14:textId="77777777" w:rsidR="001F5AEB" w:rsidRPr="00171205" w:rsidRDefault="001F5AEB" w:rsidP="001F5AEB">
      <w:pPr>
        <w:numPr>
          <w:ilvl w:val="0"/>
          <w:numId w:val="16"/>
        </w:numPr>
        <w:spacing w:after="0"/>
        <w:rPr>
          <w:iCs/>
        </w:rPr>
      </w:pPr>
      <w:r w:rsidRPr="00171205">
        <w:rPr>
          <w:iCs/>
        </w:rPr>
        <w:t>Mary Margaret Cornwell, Research Support Librarian/Librarian Assistant Professor, KSU Libraries</w:t>
      </w:r>
    </w:p>
    <w:p w14:paraId="7AD99ECE" w14:textId="77777777" w:rsidR="001F5AEB" w:rsidRPr="00171205" w:rsidRDefault="001F5AEB" w:rsidP="001F5AEB">
      <w:pPr>
        <w:numPr>
          <w:ilvl w:val="0"/>
          <w:numId w:val="16"/>
        </w:numPr>
        <w:spacing w:after="0"/>
        <w:rPr>
          <w:iCs/>
        </w:rPr>
      </w:pPr>
      <w:r w:rsidRPr="00171205">
        <w:rPr>
          <w:iCs/>
        </w:rPr>
        <w:t>Laura Howard, Graduate Teaching Assistantship Coordinator and Lecturer in English, English Department</w:t>
      </w:r>
    </w:p>
    <w:p w14:paraId="09AE3049" w14:textId="77777777" w:rsidR="001F5AEB" w:rsidRPr="00171205" w:rsidRDefault="001F5AEB" w:rsidP="001F5AEB">
      <w:pPr>
        <w:numPr>
          <w:ilvl w:val="0"/>
          <w:numId w:val="16"/>
        </w:numPr>
        <w:spacing w:after="0"/>
        <w:rPr>
          <w:iCs/>
        </w:rPr>
      </w:pPr>
      <w:r w:rsidRPr="00171205">
        <w:rPr>
          <w:iCs/>
        </w:rPr>
        <w:t xml:space="preserve">Jason </w:t>
      </w:r>
      <w:proofErr w:type="spellStart"/>
      <w:r w:rsidRPr="00171205">
        <w:rPr>
          <w:iCs/>
        </w:rPr>
        <w:t>Rodenbeck</w:t>
      </w:r>
      <w:proofErr w:type="spellEnd"/>
      <w:r w:rsidRPr="00171205">
        <w:rPr>
          <w:iCs/>
        </w:rPr>
        <w:t>, Assistant Director of Academic Web Accessibility, Digital Learning Innovations</w:t>
      </w:r>
    </w:p>
    <w:p w14:paraId="7A7F2646" w14:textId="77777777" w:rsidR="001F5AEB" w:rsidRPr="00171205" w:rsidRDefault="001F5AEB" w:rsidP="001F5AEB">
      <w:pPr>
        <w:spacing w:after="0"/>
        <w:ind w:left="720"/>
        <w:rPr>
          <w:iCs/>
        </w:rPr>
      </w:pPr>
    </w:p>
    <w:p w14:paraId="7AEC4FC0" w14:textId="704BEAEA" w:rsidR="001F5AEB" w:rsidRPr="00171205" w:rsidRDefault="001F5AEB" w:rsidP="001F5AEB">
      <w:pPr>
        <w:rPr>
          <w:iCs/>
        </w:rPr>
      </w:pPr>
      <w:r w:rsidRPr="00171205">
        <w:rPr>
          <w:iCs/>
        </w:rPr>
        <w:t xml:space="preserve">Team members will draft and revise their chapters during </w:t>
      </w:r>
      <w:r w:rsidR="007C2B40">
        <w:rPr>
          <w:iCs/>
        </w:rPr>
        <w:t>Summer/</w:t>
      </w:r>
      <w:r w:rsidRPr="00171205">
        <w:rPr>
          <w:iCs/>
        </w:rPr>
        <w:t xml:space="preserve">Fall 2022, then send them out for </w:t>
      </w:r>
      <w:r w:rsidR="004531DC">
        <w:rPr>
          <w:iCs/>
        </w:rPr>
        <w:t>review by KSU-employed student accessibility assistants</w:t>
      </w:r>
      <w:r w:rsidRPr="00171205">
        <w:rPr>
          <w:iCs/>
        </w:rPr>
        <w:t xml:space="preserve"> prior to final production in Spring 2023.</w:t>
      </w:r>
      <w:r w:rsidR="00FE1673">
        <w:rPr>
          <w:iCs/>
        </w:rPr>
        <w:t xml:space="preserve"> </w:t>
      </w:r>
      <w:r w:rsidRPr="00171205">
        <w:rPr>
          <w:iCs/>
        </w:rPr>
        <w:t>Please see Section 5 of this proposal for a detailed breakdown of primary project activities by month over the course of the award period.</w:t>
      </w:r>
    </w:p>
    <w:p w14:paraId="3C37E5E7" w14:textId="669498C7" w:rsidR="001F5AEB" w:rsidRDefault="001F5AEB" w:rsidP="001F5AEB">
      <w:pPr>
        <w:rPr>
          <w:iCs/>
        </w:rPr>
      </w:pPr>
      <w:r w:rsidRPr="00171205">
        <w:rPr>
          <w:iCs/>
        </w:rPr>
        <w:t>To the best of our knowledge, no textbook-style resources of this nature oriented toward students currently exist, whether open, no-cost, or low-cost. All materials generated in the creation of this project will be shared under Creative Commons open licensing</w:t>
      </w:r>
      <w:r>
        <w:rPr>
          <w:iCs/>
        </w:rPr>
        <w:t xml:space="preserve"> (CC BY 4.0)</w:t>
      </w:r>
      <w:r w:rsidRPr="00171205">
        <w:rPr>
          <w:iCs/>
        </w:rPr>
        <w:t xml:space="preserve">. As per the heart of the project itself, all content will demonstrate accessible design aligned with standards for compliance with ADA and university requirements, as informed by the most recent </w:t>
      </w:r>
      <w:hyperlink r:id="rId16">
        <w:r w:rsidRPr="00171205">
          <w:rPr>
            <w:iCs/>
            <w:color w:val="1155CC"/>
            <w:u w:val="single"/>
          </w:rPr>
          <w:t>Web Content Accessibility Guidelines</w:t>
        </w:r>
      </w:hyperlink>
      <w:r w:rsidRPr="00171205">
        <w:rPr>
          <w:iCs/>
        </w:rPr>
        <w:t xml:space="preserve"> (WCAG 2.1) from the World Wide Web Consortium–Web Accessibility Initiative. Finalized materials will be shared as open-access resources through Affordable Learning Georgia</w:t>
      </w:r>
      <w:r>
        <w:rPr>
          <w:iCs/>
        </w:rPr>
        <w:t xml:space="preserve">’s </w:t>
      </w:r>
      <w:proofErr w:type="spellStart"/>
      <w:r>
        <w:rPr>
          <w:iCs/>
        </w:rPr>
        <w:t>OpenALG</w:t>
      </w:r>
      <w:proofErr w:type="spellEnd"/>
      <w:r>
        <w:rPr>
          <w:iCs/>
        </w:rPr>
        <w:t xml:space="preserve"> hosting platform</w:t>
      </w:r>
      <w:r w:rsidRPr="00171205">
        <w:rPr>
          <w:iCs/>
        </w:rPr>
        <w:t xml:space="preserve">, with potential production support from the University of Georgia Press. Team members will </w:t>
      </w:r>
      <w:r w:rsidR="003D0C11">
        <w:rPr>
          <w:iCs/>
        </w:rPr>
        <w:t>implement the final resource in their courses and share it</w:t>
      </w:r>
      <w:r w:rsidRPr="00171205">
        <w:rPr>
          <w:iCs/>
        </w:rPr>
        <w:t xml:space="preserve"> in their professional and university networks, such as through workshops, publications, conference presentations, and internal promotions. </w:t>
      </w:r>
    </w:p>
    <w:p w14:paraId="6D8D3194" w14:textId="36B8ACA6" w:rsidR="001F5AEB" w:rsidRPr="00171205" w:rsidRDefault="001F5AEB" w:rsidP="001F5AEB">
      <w:pPr>
        <w:rPr>
          <w:iCs/>
        </w:rPr>
      </w:pPr>
      <w:r w:rsidRPr="005F3E3D">
        <w:rPr>
          <w:iCs/>
        </w:rPr>
        <w:t xml:space="preserve">This resource will continue to be updated and maintained collaboratively between KSU’s RCHSS Office of Digital Education (ODE) and Digital Learning Innovations (DLI), part of the university’s Curriculum, Instruction and Assessment unit. Continued maintenance will take place to reflect updated technical practices, accessibility standards, narratives of disabled university community members, and language preferred by disabled individuals and the broader disability community. This project has the potential to be incorporated into </w:t>
      </w:r>
      <w:proofErr w:type="gramStart"/>
      <w:r w:rsidRPr="005F3E3D">
        <w:rPr>
          <w:iCs/>
        </w:rPr>
        <w:t>a number of</w:t>
      </w:r>
      <w:proofErr w:type="gramEnd"/>
      <w:r w:rsidRPr="005F3E3D">
        <w:rPr>
          <w:iCs/>
        </w:rPr>
        <w:t xml:space="preserve"> university classes beyond professional writing, and to multiple universities. Team members will share this work through ongoing research presentations, workshops, and professional networks. Continued maintenance will take place to reflect updated technical practices to maintain compliance with ADA standards as codified by the </w:t>
      </w:r>
      <w:hyperlink r:id="rId17">
        <w:r w:rsidRPr="005F3E3D">
          <w:rPr>
            <w:iCs/>
            <w:color w:val="1155CC"/>
            <w:u w:val="single"/>
          </w:rPr>
          <w:t>WCAG 2.1</w:t>
        </w:r>
      </w:hyperlink>
      <w:r w:rsidRPr="005F3E3D">
        <w:rPr>
          <w:iCs/>
        </w:rPr>
        <w:t xml:space="preserve"> principles of "Perceivable, Operable, and Understandable."</w:t>
      </w:r>
    </w:p>
    <w:p w14:paraId="353F4D54" w14:textId="77777777" w:rsidR="00980EE8" w:rsidRDefault="00980EE8" w:rsidP="00980EE8">
      <w:pPr>
        <w:pStyle w:val="Heading1"/>
      </w:pPr>
    </w:p>
    <w:p w14:paraId="378A5979" w14:textId="77777777" w:rsidR="00980EE8" w:rsidRDefault="00980EE8" w:rsidP="00980EE8">
      <w:pPr>
        <w:pStyle w:val="Heading1"/>
      </w:pPr>
    </w:p>
    <w:p w14:paraId="3325B71C" w14:textId="58866981" w:rsidR="001F5AEB" w:rsidRDefault="000D3A53" w:rsidP="00980EE8">
      <w:pPr>
        <w:pStyle w:val="Heading1"/>
      </w:pPr>
      <w:r>
        <w:t xml:space="preserve">Timeline </w:t>
      </w:r>
    </w:p>
    <w:p w14:paraId="2ABB0EFF" w14:textId="383A6447" w:rsidR="001F5AEB" w:rsidRPr="005F2CD2" w:rsidRDefault="001F5AEB" w:rsidP="001F5AEB">
      <w:pPr>
        <w:jc w:val="left"/>
      </w:pPr>
      <w:r w:rsidRPr="005F2CD2">
        <w:t>SPRING 2022</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F5AEB" w:rsidRPr="005F2CD2" w14:paraId="3F9C5CE3" w14:textId="77777777" w:rsidTr="00B32F7E">
        <w:tc>
          <w:tcPr>
            <w:tcW w:w="4680" w:type="dxa"/>
            <w:shd w:val="clear" w:color="auto" w:fill="auto"/>
            <w:tcMar>
              <w:top w:w="100" w:type="dxa"/>
              <w:left w:w="100" w:type="dxa"/>
              <w:bottom w:w="100" w:type="dxa"/>
              <w:right w:w="100" w:type="dxa"/>
            </w:tcMar>
          </w:tcPr>
          <w:p w14:paraId="653B0F05" w14:textId="77777777" w:rsidR="001F5AEB" w:rsidRPr="005F2CD2" w:rsidRDefault="001F5AEB" w:rsidP="00B32F7E">
            <w:pPr>
              <w:widowControl w:val="0"/>
              <w:pBdr>
                <w:top w:val="nil"/>
                <w:left w:val="nil"/>
                <w:bottom w:val="nil"/>
                <w:right w:val="nil"/>
                <w:between w:val="nil"/>
              </w:pBdr>
              <w:spacing w:after="0"/>
              <w:jc w:val="left"/>
              <w:rPr>
                <w:b/>
              </w:rPr>
            </w:pPr>
            <w:r w:rsidRPr="005F2CD2">
              <w:rPr>
                <w:b/>
              </w:rPr>
              <w:t>Month</w:t>
            </w:r>
          </w:p>
        </w:tc>
        <w:tc>
          <w:tcPr>
            <w:tcW w:w="4680" w:type="dxa"/>
            <w:shd w:val="clear" w:color="auto" w:fill="auto"/>
            <w:tcMar>
              <w:top w:w="100" w:type="dxa"/>
              <w:left w:w="100" w:type="dxa"/>
              <w:bottom w:w="100" w:type="dxa"/>
              <w:right w:w="100" w:type="dxa"/>
            </w:tcMar>
          </w:tcPr>
          <w:p w14:paraId="25BC3079" w14:textId="77777777" w:rsidR="001F5AEB" w:rsidRPr="005F2CD2" w:rsidRDefault="001F5AEB" w:rsidP="00B32F7E">
            <w:pPr>
              <w:widowControl w:val="0"/>
              <w:pBdr>
                <w:top w:val="nil"/>
                <w:left w:val="nil"/>
                <w:bottom w:val="nil"/>
                <w:right w:val="nil"/>
                <w:between w:val="nil"/>
              </w:pBdr>
              <w:spacing w:after="0"/>
              <w:jc w:val="left"/>
              <w:rPr>
                <w:b/>
              </w:rPr>
            </w:pPr>
            <w:r w:rsidRPr="005F2CD2">
              <w:rPr>
                <w:b/>
              </w:rPr>
              <w:t>Primary Activities</w:t>
            </w:r>
          </w:p>
        </w:tc>
      </w:tr>
      <w:tr w:rsidR="001F5AEB" w:rsidRPr="005F2CD2" w14:paraId="5268FABA" w14:textId="77777777" w:rsidTr="00B32F7E">
        <w:tc>
          <w:tcPr>
            <w:tcW w:w="4680" w:type="dxa"/>
            <w:shd w:val="clear" w:color="auto" w:fill="auto"/>
            <w:tcMar>
              <w:top w:w="100" w:type="dxa"/>
              <w:left w:w="100" w:type="dxa"/>
              <w:bottom w:w="100" w:type="dxa"/>
              <w:right w:w="100" w:type="dxa"/>
            </w:tcMar>
          </w:tcPr>
          <w:p w14:paraId="6CA43C84" w14:textId="47FA141B" w:rsidR="001F5AEB" w:rsidRPr="005F2CD2" w:rsidRDefault="001F5AEB" w:rsidP="00B32F7E">
            <w:pPr>
              <w:widowControl w:val="0"/>
              <w:pBdr>
                <w:top w:val="nil"/>
                <w:left w:val="nil"/>
                <w:bottom w:val="nil"/>
                <w:right w:val="nil"/>
                <w:between w:val="nil"/>
              </w:pBdr>
              <w:spacing w:after="0"/>
              <w:jc w:val="left"/>
            </w:pPr>
            <w:r w:rsidRPr="005F2CD2">
              <w:t>March</w:t>
            </w:r>
            <w:r w:rsidR="00D0176E">
              <w:t>-A</w:t>
            </w:r>
            <w:r w:rsidR="00C46232">
              <w:t>pril</w:t>
            </w:r>
            <w:r w:rsidRPr="005F2CD2">
              <w:t xml:space="preserve"> </w:t>
            </w:r>
          </w:p>
        </w:tc>
        <w:tc>
          <w:tcPr>
            <w:tcW w:w="4680" w:type="dxa"/>
            <w:shd w:val="clear" w:color="auto" w:fill="auto"/>
            <w:tcMar>
              <w:top w:w="100" w:type="dxa"/>
              <w:left w:w="100" w:type="dxa"/>
              <w:bottom w:w="100" w:type="dxa"/>
              <w:right w:w="100" w:type="dxa"/>
            </w:tcMar>
          </w:tcPr>
          <w:p w14:paraId="73B27BCD" w14:textId="6B46B23F" w:rsidR="001F5AEB" w:rsidRDefault="001F5AEB" w:rsidP="001F5AEB">
            <w:pPr>
              <w:numPr>
                <w:ilvl w:val="0"/>
                <w:numId w:val="24"/>
              </w:numPr>
              <w:spacing w:after="0"/>
              <w:jc w:val="left"/>
            </w:pPr>
            <w:r w:rsidRPr="005F2CD2">
              <w:t>awards announced</w:t>
            </w:r>
          </w:p>
          <w:p w14:paraId="123104EA" w14:textId="28C87B5C" w:rsidR="00980EE8" w:rsidRPr="005F2CD2" w:rsidRDefault="00980EE8" w:rsidP="001F5AEB">
            <w:pPr>
              <w:numPr>
                <w:ilvl w:val="0"/>
                <w:numId w:val="24"/>
              </w:numPr>
              <w:spacing w:after="0"/>
              <w:jc w:val="left"/>
            </w:pPr>
            <w:r>
              <w:t>team meets to coordinate next steps</w:t>
            </w:r>
          </w:p>
          <w:p w14:paraId="21445E63" w14:textId="77777777" w:rsidR="001F5AEB" w:rsidRPr="005F2CD2" w:rsidRDefault="001F5AEB" w:rsidP="001F5AEB">
            <w:pPr>
              <w:numPr>
                <w:ilvl w:val="0"/>
                <w:numId w:val="24"/>
              </w:numPr>
              <w:spacing w:after="0"/>
              <w:jc w:val="left"/>
            </w:pPr>
            <w:r w:rsidRPr="005F2CD2">
              <w:t>finalize resource outline</w:t>
            </w:r>
          </w:p>
          <w:p w14:paraId="56E5B9A1" w14:textId="77777777" w:rsidR="001F5AEB" w:rsidRPr="005F2CD2" w:rsidRDefault="001F5AEB" w:rsidP="001F5AEB">
            <w:pPr>
              <w:numPr>
                <w:ilvl w:val="0"/>
                <w:numId w:val="24"/>
              </w:numPr>
              <w:jc w:val="left"/>
            </w:pPr>
            <w:r w:rsidRPr="005F2CD2">
              <w:t>assign team focal sections</w:t>
            </w:r>
          </w:p>
          <w:p w14:paraId="460F4222" w14:textId="77777777" w:rsidR="001F5AEB" w:rsidRPr="005F2CD2" w:rsidRDefault="001F5AEB" w:rsidP="00B32F7E">
            <w:pPr>
              <w:widowControl w:val="0"/>
              <w:pBdr>
                <w:top w:val="nil"/>
                <w:left w:val="nil"/>
                <w:bottom w:val="nil"/>
                <w:right w:val="nil"/>
                <w:between w:val="nil"/>
              </w:pBdr>
              <w:spacing w:after="0"/>
              <w:jc w:val="left"/>
            </w:pPr>
          </w:p>
        </w:tc>
      </w:tr>
    </w:tbl>
    <w:p w14:paraId="3F816B23" w14:textId="77777777" w:rsidR="001F5AEB" w:rsidRPr="005F2CD2" w:rsidRDefault="001F5AEB" w:rsidP="001F5AEB">
      <w:pPr>
        <w:jc w:val="left"/>
      </w:pPr>
      <w:r w:rsidRPr="005F2CD2">
        <w:lastRenderedPageBreak/>
        <w:t>SUMMER 2022</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F5AEB" w:rsidRPr="005F2CD2" w14:paraId="0DBF4E39" w14:textId="77777777" w:rsidTr="00B32F7E">
        <w:tc>
          <w:tcPr>
            <w:tcW w:w="4680" w:type="dxa"/>
            <w:shd w:val="clear" w:color="auto" w:fill="auto"/>
            <w:tcMar>
              <w:top w:w="100" w:type="dxa"/>
              <w:left w:w="100" w:type="dxa"/>
              <w:bottom w:w="100" w:type="dxa"/>
              <w:right w:w="100" w:type="dxa"/>
            </w:tcMar>
          </w:tcPr>
          <w:p w14:paraId="62F7E7E4" w14:textId="77777777" w:rsidR="001F5AEB" w:rsidRPr="005F2CD2" w:rsidRDefault="001F5AEB" w:rsidP="00B32F7E">
            <w:pPr>
              <w:widowControl w:val="0"/>
              <w:pBdr>
                <w:top w:val="nil"/>
                <w:left w:val="nil"/>
                <w:bottom w:val="nil"/>
                <w:right w:val="nil"/>
                <w:between w:val="nil"/>
              </w:pBdr>
              <w:spacing w:after="0"/>
              <w:jc w:val="left"/>
              <w:rPr>
                <w:b/>
              </w:rPr>
            </w:pPr>
            <w:r w:rsidRPr="005F2CD2">
              <w:rPr>
                <w:b/>
              </w:rPr>
              <w:t>Month</w:t>
            </w:r>
          </w:p>
        </w:tc>
        <w:tc>
          <w:tcPr>
            <w:tcW w:w="4680" w:type="dxa"/>
            <w:shd w:val="clear" w:color="auto" w:fill="auto"/>
            <w:tcMar>
              <w:top w:w="100" w:type="dxa"/>
              <w:left w:w="100" w:type="dxa"/>
              <w:bottom w:w="100" w:type="dxa"/>
              <w:right w:w="100" w:type="dxa"/>
            </w:tcMar>
          </w:tcPr>
          <w:p w14:paraId="5B880F49" w14:textId="77777777" w:rsidR="001F5AEB" w:rsidRPr="005F2CD2" w:rsidRDefault="001F5AEB" w:rsidP="00B32F7E">
            <w:pPr>
              <w:widowControl w:val="0"/>
              <w:pBdr>
                <w:top w:val="nil"/>
                <w:left w:val="nil"/>
                <w:bottom w:val="nil"/>
                <w:right w:val="nil"/>
                <w:between w:val="nil"/>
              </w:pBdr>
              <w:spacing w:after="0"/>
              <w:jc w:val="left"/>
              <w:rPr>
                <w:b/>
              </w:rPr>
            </w:pPr>
            <w:r w:rsidRPr="005F2CD2">
              <w:rPr>
                <w:b/>
              </w:rPr>
              <w:t>Primary Activities</w:t>
            </w:r>
          </w:p>
        </w:tc>
      </w:tr>
      <w:tr w:rsidR="001F5AEB" w:rsidRPr="005F2CD2" w14:paraId="176CF4E9" w14:textId="77777777" w:rsidTr="00B32F7E">
        <w:tc>
          <w:tcPr>
            <w:tcW w:w="4680" w:type="dxa"/>
            <w:shd w:val="clear" w:color="auto" w:fill="auto"/>
            <w:tcMar>
              <w:top w:w="100" w:type="dxa"/>
              <w:left w:w="100" w:type="dxa"/>
              <w:bottom w:w="100" w:type="dxa"/>
              <w:right w:w="100" w:type="dxa"/>
            </w:tcMar>
          </w:tcPr>
          <w:p w14:paraId="7F2886FE" w14:textId="77777777" w:rsidR="001F5AEB" w:rsidRPr="005F2CD2" w:rsidRDefault="001F5AEB" w:rsidP="00B32F7E">
            <w:pPr>
              <w:widowControl w:val="0"/>
              <w:pBdr>
                <w:top w:val="nil"/>
                <w:left w:val="nil"/>
                <w:bottom w:val="nil"/>
                <w:right w:val="nil"/>
                <w:between w:val="nil"/>
              </w:pBdr>
              <w:spacing w:after="0"/>
              <w:jc w:val="left"/>
            </w:pPr>
            <w:r w:rsidRPr="005F2CD2">
              <w:t>May-July</w:t>
            </w:r>
          </w:p>
        </w:tc>
        <w:tc>
          <w:tcPr>
            <w:tcW w:w="4680" w:type="dxa"/>
            <w:shd w:val="clear" w:color="auto" w:fill="auto"/>
            <w:tcMar>
              <w:top w:w="100" w:type="dxa"/>
              <w:left w:w="100" w:type="dxa"/>
              <w:bottom w:w="100" w:type="dxa"/>
              <w:right w:w="100" w:type="dxa"/>
            </w:tcMar>
          </w:tcPr>
          <w:p w14:paraId="18087493" w14:textId="77777777" w:rsidR="001F5AEB" w:rsidRPr="005F2CD2" w:rsidRDefault="001F5AEB" w:rsidP="001F5AEB">
            <w:pPr>
              <w:widowControl w:val="0"/>
              <w:numPr>
                <w:ilvl w:val="0"/>
                <w:numId w:val="17"/>
              </w:numPr>
              <w:pBdr>
                <w:top w:val="nil"/>
                <w:left w:val="nil"/>
                <w:bottom w:val="nil"/>
                <w:right w:val="nil"/>
                <w:between w:val="nil"/>
              </w:pBdr>
              <w:spacing w:after="0"/>
              <w:jc w:val="left"/>
            </w:pPr>
            <w:r w:rsidRPr="005F2CD2">
              <w:rPr>
                <w:i/>
              </w:rPr>
              <w:t>Note: if using funding as summer pay, some team members may begin initial drafting during this period</w:t>
            </w:r>
          </w:p>
        </w:tc>
      </w:tr>
    </w:tbl>
    <w:p w14:paraId="49FC4963" w14:textId="77777777" w:rsidR="001F5AEB" w:rsidRPr="005F2CD2" w:rsidRDefault="001F5AEB" w:rsidP="001F5AEB">
      <w:pPr>
        <w:jc w:val="left"/>
      </w:pPr>
    </w:p>
    <w:p w14:paraId="6E984463" w14:textId="77777777" w:rsidR="001F5AEB" w:rsidRPr="005F2CD2" w:rsidRDefault="001F5AEB" w:rsidP="001F5AEB">
      <w:pPr>
        <w:jc w:val="left"/>
      </w:pPr>
      <w:r w:rsidRPr="005F2CD2">
        <w:t>FALL 2022</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F5AEB" w:rsidRPr="005F2CD2" w14:paraId="44381D8A" w14:textId="77777777" w:rsidTr="00B32F7E">
        <w:tc>
          <w:tcPr>
            <w:tcW w:w="4680" w:type="dxa"/>
            <w:shd w:val="clear" w:color="auto" w:fill="auto"/>
            <w:tcMar>
              <w:top w:w="100" w:type="dxa"/>
              <w:left w:w="100" w:type="dxa"/>
              <w:bottom w:w="100" w:type="dxa"/>
              <w:right w:w="100" w:type="dxa"/>
            </w:tcMar>
          </w:tcPr>
          <w:p w14:paraId="6284799B" w14:textId="77777777" w:rsidR="001F5AEB" w:rsidRPr="005F2CD2" w:rsidRDefault="001F5AEB" w:rsidP="00B32F7E">
            <w:pPr>
              <w:widowControl w:val="0"/>
              <w:pBdr>
                <w:top w:val="nil"/>
                <w:left w:val="nil"/>
                <w:bottom w:val="nil"/>
                <w:right w:val="nil"/>
                <w:between w:val="nil"/>
              </w:pBdr>
              <w:spacing w:after="0"/>
              <w:jc w:val="left"/>
              <w:rPr>
                <w:b/>
              </w:rPr>
            </w:pPr>
            <w:r w:rsidRPr="005F2CD2">
              <w:rPr>
                <w:b/>
              </w:rPr>
              <w:t>Month</w:t>
            </w:r>
          </w:p>
        </w:tc>
        <w:tc>
          <w:tcPr>
            <w:tcW w:w="4680" w:type="dxa"/>
            <w:shd w:val="clear" w:color="auto" w:fill="auto"/>
            <w:tcMar>
              <w:top w:w="100" w:type="dxa"/>
              <w:left w:w="100" w:type="dxa"/>
              <w:bottom w:w="100" w:type="dxa"/>
              <w:right w:w="100" w:type="dxa"/>
            </w:tcMar>
          </w:tcPr>
          <w:p w14:paraId="0F3A2207" w14:textId="77777777" w:rsidR="001F5AEB" w:rsidRPr="005F2CD2" w:rsidRDefault="001F5AEB" w:rsidP="00B32F7E">
            <w:pPr>
              <w:widowControl w:val="0"/>
              <w:pBdr>
                <w:top w:val="nil"/>
                <w:left w:val="nil"/>
                <w:bottom w:val="nil"/>
                <w:right w:val="nil"/>
                <w:between w:val="nil"/>
              </w:pBdr>
              <w:spacing w:after="0"/>
              <w:jc w:val="left"/>
              <w:rPr>
                <w:b/>
              </w:rPr>
            </w:pPr>
            <w:r w:rsidRPr="005F2CD2">
              <w:rPr>
                <w:b/>
              </w:rPr>
              <w:t>Primary Activities</w:t>
            </w:r>
          </w:p>
        </w:tc>
      </w:tr>
      <w:tr w:rsidR="001F5AEB" w:rsidRPr="005F2CD2" w14:paraId="57411A1F" w14:textId="77777777" w:rsidTr="00B32F7E">
        <w:tc>
          <w:tcPr>
            <w:tcW w:w="4680" w:type="dxa"/>
            <w:shd w:val="clear" w:color="auto" w:fill="auto"/>
            <w:tcMar>
              <w:top w:w="100" w:type="dxa"/>
              <w:left w:w="100" w:type="dxa"/>
              <w:bottom w:w="100" w:type="dxa"/>
              <w:right w:w="100" w:type="dxa"/>
            </w:tcMar>
          </w:tcPr>
          <w:p w14:paraId="37D21D69" w14:textId="77777777" w:rsidR="001F5AEB" w:rsidRPr="005F2CD2" w:rsidRDefault="001F5AEB" w:rsidP="00B32F7E">
            <w:pPr>
              <w:widowControl w:val="0"/>
              <w:pBdr>
                <w:top w:val="nil"/>
                <w:left w:val="nil"/>
                <w:bottom w:val="nil"/>
                <w:right w:val="nil"/>
                <w:between w:val="nil"/>
              </w:pBdr>
              <w:spacing w:after="0"/>
              <w:jc w:val="left"/>
            </w:pPr>
            <w:r w:rsidRPr="005F2CD2">
              <w:t>August</w:t>
            </w:r>
          </w:p>
        </w:tc>
        <w:tc>
          <w:tcPr>
            <w:tcW w:w="4680" w:type="dxa"/>
            <w:shd w:val="clear" w:color="auto" w:fill="auto"/>
            <w:tcMar>
              <w:top w:w="100" w:type="dxa"/>
              <w:left w:w="100" w:type="dxa"/>
              <w:bottom w:w="100" w:type="dxa"/>
              <w:right w:w="100" w:type="dxa"/>
            </w:tcMar>
          </w:tcPr>
          <w:p w14:paraId="48BB5F3A" w14:textId="77777777" w:rsidR="001F5AEB" w:rsidRPr="005F2CD2" w:rsidRDefault="001F5AEB" w:rsidP="001F5AEB">
            <w:pPr>
              <w:widowControl w:val="0"/>
              <w:numPr>
                <w:ilvl w:val="0"/>
                <w:numId w:val="20"/>
              </w:numPr>
              <w:pBdr>
                <w:top w:val="nil"/>
                <w:left w:val="nil"/>
                <w:bottom w:val="nil"/>
                <w:right w:val="nil"/>
                <w:between w:val="nil"/>
              </w:pBdr>
              <w:spacing w:after="0"/>
              <w:jc w:val="left"/>
            </w:pPr>
            <w:r w:rsidRPr="005F2CD2">
              <w:t xml:space="preserve">draft resource sections </w:t>
            </w:r>
          </w:p>
        </w:tc>
      </w:tr>
      <w:tr w:rsidR="001F5AEB" w:rsidRPr="005F2CD2" w14:paraId="59F29A33" w14:textId="77777777" w:rsidTr="00B32F7E">
        <w:tc>
          <w:tcPr>
            <w:tcW w:w="4680" w:type="dxa"/>
            <w:shd w:val="clear" w:color="auto" w:fill="auto"/>
            <w:tcMar>
              <w:top w:w="100" w:type="dxa"/>
              <w:left w:w="100" w:type="dxa"/>
              <w:bottom w:w="100" w:type="dxa"/>
              <w:right w:w="100" w:type="dxa"/>
            </w:tcMar>
          </w:tcPr>
          <w:p w14:paraId="7794003C" w14:textId="77777777" w:rsidR="001F5AEB" w:rsidRPr="005F2CD2" w:rsidRDefault="001F5AEB" w:rsidP="00B32F7E">
            <w:pPr>
              <w:widowControl w:val="0"/>
              <w:pBdr>
                <w:top w:val="nil"/>
                <w:left w:val="nil"/>
                <w:bottom w:val="nil"/>
                <w:right w:val="nil"/>
                <w:between w:val="nil"/>
              </w:pBdr>
              <w:spacing w:after="0"/>
              <w:jc w:val="left"/>
            </w:pPr>
            <w:r w:rsidRPr="005F2CD2">
              <w:t>September</w:t>
            </w:r>
          </w:p>
        </w:tc>
        <w:tc>
          <w:tcPr>
            <w:tcW w:w="4680" w:type="dxa"/>
            <w:shd w:val="clear" w:color="auto" w:fill="auto"/>
            <w:tcMar>
              <w:top w:w="100" w:type="dxa"/>
              <w:left w:w="100" w:type="dxa"/>
              <w:bottom w:w="100" w:type="dxa"/>
              <w:right w:w="100" w:type="dxa"/>
            </w:tcMar>
          </w:tcPr>
          <w:p w14:paraId="03D9E9FF" w14:textId="77777777" w:rsidR="001F5AEB" w:rsidRPr="005F2CD2" w:rsidRDefault="001F5AEB" w:rsidP="001F5AEB">
            <w:pPr>
              <w:widowControl w:val="0"/>
              <w:numPr>
                <w:ilvl w:val="0"/>
                <w:numId w:val="21"/>
              </w:numPr>
              <w:pBdr>
                <w:top w:val="nil"/>
                <w:left w:val="nil"/>
                <w:bottom w:val="nil"/>
                <w:right w:val="nil"/>
                <w:between w:val="nil"/>
              </w:pBdr>
              <w:spacing w:after="0"/>
              <w:jc w:val="left"/>
            </w:pPr>
            <w:r w:rsidRPr="005F2CD2">
              <w:t>team members review first drafts of resource sections</w:t>
            </w:r>
          </w:p>
        </w:tc>
      </w:tr>
      <w:tr w:rsidR="001F5AEB" w:rsidRPr="005F2CD2" w14:paraId="50BE0D2D" w14:textId="77777777" w:rsidTr="00B32F7E">
        <w:tc>
          <w:tcPr>
            <w:tcW w:w="4680" w:type="dxa"/>
            <w:shd w:val="clear" w:color="auto" w:fill="auto"/>
            <w:tcMar>
              <w:top w:w="100" w:type="dxa"/>
              <w:left w:w="100" w:type="dxa"/>
              <w:bottom w:w="100" w:type="dxa"/>
              <w:right w:w="100" w:type="dxa"/>
            </w:tcMar>
          </w:tcPr>
          <w:p w14:paraId="4B128A11" w14:textId="77777777" w:rsidR="001F5AEB" w:rsidRPr="005F2CD2" w:rsidRDefault="001F5AEB" w:rsidP="00B32F7E">
            <w:pPr>
              <w:widowControl w:val="0"/>
              <w:pBdr>
                <w:top w:val="nil"/>
                <w:left w:val="nil"/>
                <w:bottom w:val="nil"/>
                <w:right w:val="nil"/>
                <w:between w:val="nil"/>
              </w:pBdr>
              <w:spacing w:after="0"/>
              <w:jc w:val="left"/>
            </w:pPr>
            <w:r w:rsidRPr="005F2CD2">
              <w:t>October</w:t>
            </w:r>
          </w:p>
        </w:tc>
        <w:tc>
          <w:tcPr>
            <w:tcW w:w="4680" w:type="dxa"/>
            <w:shd w:val="clear" w:color="auto" w:fill="auto"/>
            <w:tcMar>
              <w:top w:w="100" w:type="dxa"/>
              <w:left w:w="100" w:type="dxa"/>
              <w:bottom w:w="100" w:type="dxa"/>
              <w:right w:w="100" w:type="dxa"/>
            </w:tcMar>
          </w:tcPr>
          <w:p w14:paraId="792D2466" w14:textId="77777777" w:rsidR="001F5AEB" w:rsidRDefault="001F5AEB" w:rsidP="001F5AEB">
            <w:pPr>
              <w:widowControl w:val="0"/>
              <w:numPr>
                <w:ilvl w:val="0"/>
                <w:numId w:val="19"/>
              </w:numPr>
              <w:pBdr>
                <w:top w:val="nil"/>
                <w:left w:val="nil"/>
                <w:bottom w:val="nil"/>
                <w:right w:val="nil"/>
                <w:between w:val="nil"/>
              </w:pBdr>
              <w:spacing w:after="0"/>
              <w:jc w:val="left"/>
            </w:pPr>
            <w:r w:rsidRPr="005F2CD2">
              <w:t>revise resource sections</w:t>
            </w:r>
          </w:p>
          <w:p w14:paraId="21478B77" w14:textId="45850D50" w:rsidR="00182F62" w:rsidRPr="005F2CD2" w:rsidRDefault="00182F62" w:rsidP="001F5AEB">
            <w:pPr>
              <w:widowControl w:val="0"/>
              <w:numPr>
                <w:ilvl w:val="0"/>
                <w:numId w:val="19"/>
              </w:numPr>
              <w:pBdr>
                <w:top w:val="nil"/>
                <w:left w:val="nil"/>
                <w:bottom w:val="nil"/>
                <w:right w:val="nil"/>
                <w:between w:val="nil"/>
              </w:pBdr>
              <w:spacing w:after="0"/>
              <w:jc w:val="left"/>
            </w:pPr>
            <w:r w:rsidRPr="005F2CD2">
              <w:t xml:space="preserve">contact </w:t>
            </w:r>
            <w:r>
              <w:t>UNG</w:t>
            </w:r>
            <w:r w:rsidRPr="005F2CD2">
              <w:t xml:space="preserve"> Press on anticipated production needs and timeline</w:t>
            </w:r>
          </w:p>
        </w:tc>
      </w:tr>
      <w:tr w:rsidR="001F5AEB" w:rsidRPr="005F2CD2" w14:paraId="26DAA8F0" w14:textId="77777777" w:rsidTr="00B32F7E">
        <w:tc>
          <w:tcPr>
            <w:tcW w:w="4680" w:type="dxa"/>
            <w:shd w:val="clear" w:color="auto" w:fill="auto"/>
            <w:tcMar>
              <w:top w:w="100" w:type="dxa"/>
              <w:left w:w="100" w:type="dxa"/>
              <w:bottom w:w="100" w:type="dxa"/>
              <w:right w:w="100" w:type="dxa"/>
            </w:tcMar>
          </w:tcPr>
          <w:p w14:paraId="260C52FD" w14:textId="77777777" w:rsidR="001F5AEB" w:rsidRPr="005F2CD2" w:rsidRDefault="001F5AEB" w:rsidP="00B32F7E">
            <w:pPr>
              <w:widowControl w:val="0"/>
              <w:pBdr>
                <w:top w:val="nil"/>
                <w:left w:val="nil"/>
                <w:bottom w:val="nil"/>
                <w:right w:val="nil"/>
                <w:between w:val="nil"/>
              </w:pBdr>
              <w:spacing w:after="0"/>
              <w:jc w:val="left"/>
            </w:pPr>
            <w:r w:rsidRPr="005F2CD2">
              <w:t>November</w:t>
            </w:r>
          </w:p>
        </w:tc>
        <w:tc>
          <w:tcPr>
            <w:tcW w:w="4680" w:type="dxa"/>
            <w:shd w:val="clear" w:color="auto" w:fill="auto"/>
            <w:tcMar>
              <w:top w:w="100" w:type="dxa"/>
              <w:left w:w="100" w:type="dxa"/>
              <w:bottom w:w="100" w:type="dxa"/>
              <w:right w:w="100" w:type="dxa"/>
            </w:tcMar>
          </w:tcPr>
          <w:p w14:paraId="41D86D01" w14:textId="77777777" w:rsidR="001F5AEB" w:rsidRPr="005F2CD2" w:rsidRDefault="001F5AEB" w:rsidP="001F5AEB">
            <w:pPr>
              <w:widowControl w:val="0"/>
              <w:numPr>
                <w:ilvl w:val="0"/>
                <w:numId w:val="26"/>
              </w:numPr>
              <w:pBdr>
                <w:top w:val="nil"/>
                <w:left w:val="nil"/>
                <w:bottom w:val="nil"/>
                <w:right w:val="nil"/>
                <w:between w:val="nil"/>
              </w:pBdr>
              <w:spacing w:after="0"/>
              <w:jc w:val="left"/>
            </w:pPr>
            <w:r w:rsidRPr="005F2CD2">
              <w:t>team members review revised drafts of resource sections</w:t>
            </w:r>
          </w:p>
        </w:tc>
      </w:tr>
      <w:tr w:rsidR="001F5AEB" w:rsidRPr="005F2CD2" w14:paraId="5CDFF9A4" w14:textId="77777777" w:rsidTr="00B32F7E">
        <w:tc>
          <w:tcPr>
            <w:tcW w:w="4680" w:type="dxa"/>
            <w:shd w:val="clear" w:color="auto" w:fill="auto"/>
            <w:tcMar>
              <w:top w:w="100" w:type="dxa"/>
              <w:left w:w="100" w:type="dxa"/>
              <w:bottom w:w="100" w:type="dxa"/>
              <w:right w:w="100" w:type="dxa"/>
            </w:tcMar>
          </w:tcPr>
          <w:p w14:paraId="2D8FD668" w14:textId="77777777" w:rsidR="001F5AEB" w:rsidRPr="005F2CD2" w:rsidRDefault="001F5AEB" w:rsidP="00B32F7E">
            <w:pPr>
              <w:widowControl w:val="0"/>
              <w:pBdr>
                <w:top w:val="nil"/>
                <w:left w:val="nil"/>
                <w:bottom w:val="nil"/>
                <w:right w:val="nil"/>
                <w:between w:val="nil"/>
              </w:pBdr>
              <w:spacing w:after="0"/>
              <w:jc w:val="left"/>
            </w:pPr>
            <w:r w:rsidRPr="005F2CD2">
              <w:t>December</w:t>
            </w:r>
          </w:p>
        </w:tc>
        <w:tc>
          <w:tcPr>
            <w:tcW w:w="4680" w:type="dxa"/>
            <w:shd w:val="clear" w:color="auto" w:fill="auto"/>
            <w:tcMar>
              <w:top w:w="100" w:type="dxa"/>
              <w:left w:w="100" w:type="dxa"/>
              <w:bottom w:w="100" w:type="dxa"/>
              <w:right w:w="100" w:type="dxa"/>
            </w:tcMar>
          </w:tcPr>
          <w:p w14:paraId="4A98A432" w14:textId="0ACF2C1E" w:rsidR="001F5AEB" w:rsidRPr="005F2CD2" w:rsidRDefault="001F5AEB" w:rsidP="00A51DB2">
            <w:pPr>
              <w:widowControl w:val="0"/>
              <w:numPr>
                <w:ilvl w:val="0"/>
                <w:numId w:val="27"/>
              </w:numPr>
              <w:pBdr>
                <w:top w:val="nil"/>
                <w:left w:val="nil"/>
                <w:bottom w:val="nil"/>
                <w:right w:val="nil"/>
                <w:between w:val="nil"/>
              </w:pBdr>
              <w:spacing w:after="0"/>
              <w:jc w:val="left"/>
            </w:pPr>
            <w:r w:rsidRPr="005F2CD2">
              <w:t xml:space="preserve">finalize </w:t>
            </w:r>
            <w:r w:rsidR="00182F62">
              <w:t>overall draft</w:t>
            </w:r>
            <w:r w:rsidRPr="005F2CD2">
              <w:t xml:space="preserve"> in preparation for </w:t>
            </w:r>
            <w:r w:rsidR="00B46327">
              <w:t>student reviews</w:t>
            </w:r>
          </w:p>
        </w:tc>
      </w:tr>
    </w:tbl>
    <w:p w14:paraId="1778F381" w14:textId="77777777" w:rsidR="001F5AEB" w:rsidRPr="005F2CD2" w:rsidRDefault="001F5AEB" w:rsidP="001F5AEB">
      <w:pPr>
        <w:jc w:val="left"/>
      </w:pPr>
    </w:p>
    <w:p w14:paraId="1622570F" w14:textId="77777777" w:rsidR="001F5AEB" w:rsidRPr="005F2CD2" w:rsidRDefault="001F5AEB" w:rsidP="001F5AEB">
      <w:pPr>
        <w:jc w:val="left"/>
      </w:pPr>
      <w:r w:rsidRPr="005F2CD2">
        <w:t>SPRING 2023</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F5AEB" w:rsidRPr="005F2CD2" w14:paraId="5F3E052F" w14:textId="77777777" w:rsidTr="00B32F7E">
        <w:tc>
          <w:tcPr>
            <w:tcW w:w="4680" w:type="dxa"/>
            <w:shd w:val="clear" w:color="auto" w:fill="auto"/>
            <w:tcMar>
              <w:top w:w="100" w:type="dxa"/>
              <w:left w:w="100" w:type="dxa"/>
              <w:bottom w:w="100" w:type="dxa"/>
              <w:right w:w="100" w:type="dxa"/>
            </w:tcMar>
          </w:tcPr>
          <w:p w14:paraId="3E72A0F5" w14:textId="77777777" w:rsidR="001F5AEB" w:rsidRPr="005F2CD2" w:rsidRDefault="001F5AEB" w:rsidP="00B32F7E">
            <w:pPr>
              <w:widowControl w:val="0"/>
              <w:pBdr>
                <w:top w:val="nil"/>
                <w:left w:val="nil"/>
                <w:bottom w:val="nil"/>
                <w:right w:val="nil"/>
                <w:between w:val="nil"/>
              </w:pBdr>
              <w:spacing w:after="0"/>
              <w:jc w:val="left"/>
              <w:rPr>
                <w:b/>
              </w:rPr>
            </w:pPr>
            <w:r w:rsidRPr="005F2CD2">
              <w:rPr>
                <w:b/>
              </w:rPr>
              <w:t>Month</w:t>
            </w:r>
          </w:p>
        </w:tc>
        <w:tc>
          <w:tcPr>
            <w:tcW w:w="4680" w:type="dxa"/>
            <w:shd w:val="clear" w:color="auto" w:fill="auto"/>
            <w:tcMar>
              <w:top w:w="100" w:type="dxa"/>
              <w:left w:w="100" w:type="dxa"/>
              <w:bottom w:w="100" w:type="dxa"/>
              <w:right w:w="100" w:type="dxa"/>
            </w:tcMar>
          </w:tcPr>
          <w:p w14:paraId="4E95ADEC" w14:textId="77777777" w:rsidR="001F5AEB" w:rsidRPr="005F2CD2" w:rsidRDefault="001F5AEB" w:rsidP="00B32F7E">
            <w:pPr>
              <w:widowControl w:val="0"/>
              <w:pBdr>
                <w:top w:val="nil"/>
                <w:left w:val="nil"/>
                <w:bottom w:val="nil"/>
                <w:right w:val="nil"/>
                <w:between w:val="nil"/>
              </w:pBdr>
              <w:spacing w:after="0"/>
              <w:jc w:val="left"/>
              <w:rPr>
                <w:b/>
              </w:rPr>
            </w:pPr>
            <w:r w:rsidRPr="005F2CD2">
              <w:rPr>
                <w:b/>
              </w:rPr>
              <w:t>Primary Activities</w:t>
            </w:r>
          </w:p>
        </w:tc>
      </w:tr>
      <w:tr w:rsidR="001F5AEB" w:rsidRPr="005F2CD2" w14:paraId="0F0B1BA0" w14:textId="77777777" w:rsidTr="00B32F7E">
        <w:tc>
          <w:tcPr>
            <w:tcW w:w="4680" w:type="dxa"/>
            <w:shd w:val="clear" w:color="auto" w:fill="auto"/>
            <w:tcMar>
              <w:top w:w="100" w:type="dxa"/>
              <w:left w:w="100" w:type="dxa"/>
              <w:bottom w:w="100" w:type="dxa"/>
              <w:right w:w="100" w:type="dxa"/>
            </w:tcMar>
          </w:tcPr>
          <w:p w14:paraId="6959BCBB" w14:textId="77777777" w:rsidR="001F5AEB" w:rsidRPr="005F2CD2" w:rsidRDefault="001F5AEB" w:rsidP="00B32F7E">
            <w:pPr>
              <w:widowControl w:val="0"/>
              <w:pBdr>
                <w:top w:val="nil"/>
                <w:left w:val="nil"/>
                <w:bottom w:val="nil"/>
                <w:right w:val="nil"/>
                <w:between w:val="nil"/>
              </w:pBdr>
              <w:spacing w:after="0"/>
              <w:jc w:val="left"/>
            </w:pPr>
            <w:r w:rsidRPr="005F2CD2">
              <w:t>January</w:t>
            </w:r>
          </w:p>
        </w:tc>
        <w:tc>
          <w:tcPr>
            <w:tcW w:w="4680" w:type="dxa"/>
            <w:shd w:val="clear" w:color="auto" w:fill="auto"/>
            <w:tcMar>
              <w:top w:w="100" w:type="dxa"/>
              <w:left w:w="100" w:type="dxa"/>
              <w:bottom w:w="100" w:type="dxa"/>
              <w:right w:w="100" w:type="dxa"/>
            </w:tcMar>
          </w:tcPr>
          <w:p w14:paraId="472FC7A7" w14:textId="04461C79" w:rsidR="001F5AEB" w:rsidRPr="005F2CD2" w:rsidRDefault="001F5AEB" w:rsidP="001F5AEB">
            <w:pPr>
              <w:widowControl w:val="0"/>
              <w:numPr>
                <w:ilvl w:val="0"/>
                <w:numId w:val="25"/>
              </w:numPr>
              <w:pBdr>
                <w:top w:val="nil"/>
                <w:left w:val="nil"/>
                <w:bottom w:val="nil"/>
                <w:right w:val="nil"/>
                <w:between w:val="nil"/>
              </w:pBdr>
              <w:spacing w:after="0"/>
              <w:jc w:val="left"/>
            </w:pPr>
            <w:r w:rsidRPr="005F2CD2">
              <w:t xml:space="preserve">solicit reviews from </w:t>
            </w:r>
            <w:r w:rsidR="005D60B0">
              <w:t xml:space="preserve">KSU-employed student </w:t>
            </w:r>
            <w:r w:rsidRPr="005F2CD2">
              <w:t>accessibility experts</w:t>
            </w:r>
          </w:p>
        </w:tc>
      </w:tr>
      <w:tr w:rsidR="001F5AEB" w:rsidRPr="005F2CD2" w14:paraId="14563A28" w14:textId="77777777" w:rsidTr="00B32F7E">
        <w:tc>
          <w:tcPr>
            <w:tcW w:w="4680" w:type="dxa"/>
            <w:shd w:val="clear" w:color="auto" w:fill="auto"/>
            <w:tcMar>
              <w:top w:w="100" w:type="dxa"/>
              <w:left w:w="100" w:type="dxa"/>
              <w:bottom w:w="100" w:type="dxa"/>
              <w:right w:w="100" w:type="dxa"/>
            </w:tcMar>
          </w:tcPr>
          <w:p w14:paraId="382F8751" w14:textId="77777777" w:rsidR="001F5AEB" w:rsidRPr="005F2CD2" w:rsidRDefault="001F5AEB" w:rsidP="00B32F7E">
            <w:pPr>
              <w:widowControl w:val="0"/>
              <w:pBdr>
                <w:top w:val="nil"/>
                <w:left w:val="nil"/>
                <w:bottom w:val="nil"/>
                <w:right w:val="nil"/>
                <w:between w:val="nil"/>
              </w:pBdr>
              <w:spacing w:after="0"/>
              <w:jc w:val="left"/>
            </w:pPr>
            <w:r w:rsidRPr="005F2CD2">
              <w:t>February</w:t>
            </w:r>
          </w:p>
        </w:tc>
        <w:tc>
          <w:tcPr>
            <w:tcW w:w="4680" w:type="dxa"/>
            <w:shd w:val="clear" w:color="auto" w:fill="auto"/>
            <w:tcMar>
              <w:top w:w="100" w:type="dxa"/>
              <w:left w:w="100" w:type="dxa"/>
              <w:bottom w:w="100" w:type="dxa"/>
              <w:right w:w="100" w:type="dxa"/>
            </w:tcMar>
          </w:tcPr>
          <w:p w14:paraId="1266FF20" w14:textId="35E7B469" w:rsidR="001F5AEB" w:rsidRPr="005F2CD2" w:rsidRDefault="00797934" w:rsidP="001F5AEB">
            <w:pPr>
              <w:widowControl w:val="0"/>
              <w:numPr>
                <w:ilvl w:val="0"/>
                <w:numId w:val="23"/>
              </w:numPr>
              <w:pBdr>
                <w:top w:val="nil"/>
                <w:left w:val="nil"/>
                <w:bottom w:val="nil"/>
                <w:right w:val="nil"/>
                <w:between w:val="nil"/>
              </w:pBdr>
              <w:spacing w:after="0"/>
              <w:jc w:val="left"/>
            </w:pPr>
            <w:r w:rsidRPr="005F2CD2">
              <w:t>revise per feedback from reviews</w:t>
            </w:r>
          </w:p>
        </w:tc>
      </w:tr>
      <w:tr w:rsidR="001F5AEB" w:rsidRPr="005F2CD2" w14:paraId="7C9EC731" w14:textId="77777777" w:rsidTr="00B32F7E">
        <w:tc>
          <w:tcPr>
            <w:tcW w:w="4680" w:type="dxa"/>
            <w:shd w:val="clear" w:color="auto" w:fill="auto"/>
            <w:tcMar>
              <w:top w:w="100" w:type="dxa"/>
              <w:left w:w="100" w:type="dxa"/>
              <w:bottom w:w="100" w:type="dxa"/>
              <w:right w:w="100" w:type="dxa"/>
            </w:tcMar>
          </w:tcPr>
          <w:p w14:paraId="4B01C79A" w14:textId="77777777" w:rsidR="001F5AEB" w:rsidRPr="005F2CD2" w:rsidRDefault="001F5AEB" w:rsidP="00B32F7E">
            <w:pPr>
              <w:widowControl w:val="0"/>
              <w:pBdr>
                <w:top w:val="nil"/>
                <w:left w:val="nil"/>
                <w:bottom w:val="nil"/>
                <w:right w:val="nil"/>
                <w:between w:val="nil"/>
              </w:pBdr>
              <w:spacing w:after="0"/>
              <w:jc w:val="left"/>
            </w:pPr>
            <w:r w:rsidRPr="005F2CD2">
              <w:t>March</w:t>
            </w:r>
          </w:p>
        </w:tc>
        <w:tc>
          <w:tcPr>
            <w:tcW w:w="4680" w:type="dxa"/>
            <w:shd w:val="clear" w:color="auto" w:fill="auto"/>
            <w:tcMar>
              <w:top w:w="100" w:type="dxa"/>
              <w:left w:w="100" w:type="dxa"/>
              <w:bottom w:w="100" w:type="dxa"/>
              <w:right w:w="100" w:type="dxa"/>
            </w:tcMar>
          </w:tcPr>
          <w:p w14:paraId="1E534C31" w14:textId="77777777" w:rsidR="001F5AEB" w:rsidRPr="005F2CD2" w:rsidRDefault="001F5AEB" w:rsidP="001F5AEB">
            <w:pPr>
              <w:widowControl w:val="0"/>
              <w:numPr>
                <w:ilvl w:val="0"/>
                <w:numId w:val="22"/>
              </w:numPr>
              <w:pBdr>
                <w:top w:val="nil"/>
                <w:left w:val="nil"/>
                <w:bottom w:val="nil"/>
                <w:right w:val="nil"/>
                <w:between w:val="nil"/>
              </w:pBdr>
              <w:spacing w:after="0"/>
              <w:jc w:val="left"/>
            </w:pPr>
            <w:r w:rsidRPr="005F2CD2">
              <w:t>revise per feedback from reviews</w:t>
            </w:r>
          </w:p>
        </w:tc>
      </w:tr>
      <w:tr w:rsidR="001F5AEB" w:rsidRPr="005F2CD2" w14:paraId="6F31B3BA" w14:textId="77777777" w:rsidTr="00B32F7E">
        <w:tc>
          <w:tcPr>
            <w:tcW w:w="4680" w:type="dxa"/>
            <w:shd w:val="clear" w:color="auto" w:fill="auto"/>
            <w:tcMar>
              <w:top w:w="100" w:type="dxa"/>
              <w:left w:w="100" w:type="dxa"/>
              <w:bottom w:w="100" w:type="dxa"/>
              <w:right w:w="100" w:type="dxa"/>
            </w:tcMar>
          </w:tcPr>
          <w:p w14:paraId="724CA95F" w14:textId="77777777" w:rsidR="001F5AEB" w:rsidRPr="005F2CD2" w:rsidRDefault="001F5AEB" w:rsidP="00B32F7E">
            <w:pPr>
              <w:widowControl w:val="0"/>
              <w:pBdr>
                <w:top w:val="nil"/>
                <w:left w:val="nil"/>
                <w:bottom w:val="nil"/>
                <w:right w:val="nil"/>
                <w:between w:val="nil"/>
              </w:pBdr>
              <w:spacing w:after="0"/>
              <w:jc w:val="left"/>
            </w:pPr>
            <w:r w:rsidRPr="005F2CD2">
              <w:t>April</w:t>
            </w:r>
          </w:p>
        </w:tc>
        <w:tc>
          <w:tcPr>
            <w:tcW w:w="4680" w:type="dxa"/>
            <w:shd w:val="clear" w:color="auto" w:fill="auto"/>
            <w:tcMar>
              <w:top w:w="100" w:type="dxa"/>
              <w:left w:w="100" w:type="dxa"/>
              <w:bottom w:w="100" w:type="dxa"/>
              <w:right w:w="100" w:type="dxa"/>
            </w:tcMar>
          </w:tcPr>
          <w:p w14:paraId="020A840C" w14:textId="77777777" w:rsidR="001F5AEB" w:rsidRPr="005F2CD2" w:rsidRDefault="001F5AEB" w:rsidP="001F5AEB">
            <w:pPr>
              <w:widowControl w:val="0"/>
              <w:numPr>
                <w:ilvl w:val="0"/>
                <w:numId w:val="18"/>
              </w:numPr>
              <w:pBdr>
                <w:top w:val="nil"/>
                <w:left w:val="nil"/>
                <w:bottom w:val="nil"/>
                <w:right w:val="nil"/>
                <w:between w:val="nil"/>
              </w:pBdr>
              <w:spacing w:after="0"/>
              <w:jc w:val="left"/>
            </w:pPr>
            <w:r w:rsidRPr="005F2CD2">
              <w:t>final design and production of resource (with support from University of Georgia Press)</w:t>
            </w:r>
          </w:p>
          <w:p w14:paraId="68786E70" w14:textId="77777777" w:rsidR="001F5AEB" w:rsidRPr="005F2CD2" w:rsidRDefault="001F5AEB" w:rsidP="001F5AEB">
            <w:pPr>
              <w:widowControl w:val="0"/>
              <w:numPr>
                <w:ilvl w:val="0"/>
                <w:numId w:val="18"/>
              </w:numPr>
              <w:pBdr>
                <w:top w:val="nil"/>
                <w:left w:val="nil"/>
                <w:bottom w:val="nil"/>
                <w:right w:val="nil"/>
                <w:between w:val="nil"/>
              </w:pBdr>
              <w:spacing w:after="0"/>
              <w:jc w:val="left"/>
            </w:pPr>
            <w:r w:rsidRPr="005F2CD2">
              <w:t>publish finalized resource through Affordable Learning Georgia</w:t>
            </w:r>
          </w:p>
        </w:tc>
      </w:tr>
    </w:tbl>
    <w:p w14:paraId="1E04448D" w14:textId="433D4EBC" w:rsidR="00566366" w:rsidRDefault="000D3A53" w:rsidP="0064266E">
      <w:pPr>
        <w:pStyle w:val="Heading1"/>
        <w:rPr>
          <w:i/>
        </w:rPr>
      </w:pPr>
      <w:r>
        <w:lastRenderedPageBreak/>
        <w:t>Budget</w:t>
      </w:r>
    </w:p>
    <w:p w14:paraId="791F23D7" w14:textId="77777777" w:rsidR="001F5AEB" w:rsidRDefault="001F5AEB" w:rsidP="001F5AEB">
      <w:pPr>
        <w:pBdr>
          <w:top w:val="nil"/>
          <w:left w:val="nil"/>
          <w:bottom w:val="nil"/>
          <w:right w:val="nil"/>
          <w:between w:val="nil"/>
        </w:pBdr>
        <w:spacing w:after="0"/>
        <w:ind w:left="720"/>
        <w:jc w:val="left"/>
        <w:rPr>
          <w:rFonts w:eastAsia="Calibri" w:cs="Calibri"/>
          <w:iCs/>
          <w:color w:val="000000"/>
          <w:szCs w:val="24"/>
        </w:rPr>
      </w:pPr>
    </w:p>
    <w:p w14:paraId="32EEBFAE" w14:textId="4A57DB46" w:rsidR="00E26F15" w:rsidRDefault="00E26F15" w:rsidP="001F5AEB">
      <w:pPr>
        <w:numPr>
          <w:ilvl w:val="0"/>
          <w:numId w:val="28"/>
        </w:numPr>
        <w:pBdr>
          <w:top w:val="nil"/>
          <w:left w:val="nil"/>
          <w:bottom w:val="nil"/>
          <w:right w:val="nil"/>
          <w:between w:val="nil"/>
        </w:pBdr>
        <w:spacing w:after="0"/>
        <w:jc w:val="left"/>
        <w:rPr>
          <w:rFonts w:eastAsia="Calibri" w:cs="Calibri"/>
          <w:iCs/>
          <w:color w:val="000000"/>
          <w:szCs w:val="24"/>
        </w:rPr>
      </w:pPr>
      <w:r>
        <w:rPr>
          <w:rFonts w:eastAsia="Calibri" w:cs="Calibri"/>
          <w:iCs/>
          <w:color w:val="000000"/>
          <w:szCs w:val="24"/>
        </w:rPr>
        <w:t>Project lead compensation: $2,000</w:t>
      </w:r>
    </w:p>
    <w:p w14:paraId="7E0B3AD7" w14:textId="594DC787" w:rsidR="001F5AEB" w:rsidRPr="00171205" w:rsidRDefault="00E26F15" w:rsidP="001F5AEB">
      <w:pPr>
        <w:numPr>
          <w:ilvl w:val="0"/>
          <w:numId w:val="28"/>
        </w:numPr>
        <w:pBdr>
          <w:top w:val="nil"/>
          <w:left w:val="nil"/>
          <w:bottom w:val="nil"/>
          <w:right w:val="nil"/>
          <w:between w:val="nil"/>
        </w:pBdr>
        <w:spacing w:after="0"/>
        <w:jc w:val="left"/>
        <w:rPr>
          <w:rFonts w:eastAsia="Calibri" w:cs="Calibri"/>
          <w:iCs/>
          <w:color w:val="000000"/>
          <w:szCs w:val="24"/>
        </w:rPr>
      </w:pPr>
      <w:r>
        <w:rPr>
          <w:rFonts w:eastAsia="Calibri" w:cs="Calibri"/>
          <w:iCs/>
          <w:color w:val="000000"/>
          <w:szCs w:val="24"/>
        </w:rPr>
        <w:t xml:space="preserve">Team member compensation: $6,000 ($1,500/each) </w:t>
      </w:r>
    </w:p>
    <w:p w14:paraId="5DD5157C" w14:textId="4D22828A" w:rsidR="001F5AEB" w:rsidRPr="00BF01AC" w:rsidRDefault="001F5AEB" w:rsidP="001F5AEB">
      <w:pPr>
        <w:numPr>
          <w:ilvl w:val="0"/>
          <w:numId w:val="28"/>
        </w:numPr>
        <w:pBdr>
          <w:top w:val="nil"/>
          <w:left w:val="nil"/>
          <w:bottom w:val="nil"/>
          <w:right w:val="nil"/>
          <w:between w:val="nil"/>
        </w:pBdr>
        <w:jc w:val="left"/>
        <w:rPr>
          <w:rFonts w:eastAsia="Calibri" w:cs="Calibri"/>
          <w:iCs/>
          <w:color w:val="000000"/>
          <w:szCs w:val="24"/>
        </w:rPr>
      </w:pPr>
      <w:r w:rsidRPr="00171205">
        <w:rPr>
          <w:iCs/>
        </w:rPr>
        <w:t>Remaining f</w:t>
      </w:r>
      <w:r w:rsidRPr="00171205">
        <w:rPr>
          <w:rFonts w:eastAsia="Calibri" w:cs="Calibri"/>
          <w:iCs/>
          <w:color w:val="000000"/>
          <w:szCs w:val="24"/>
        </w:rPr>
        <w:t>ees for</w:t>
      </w:r>
      <w:r w:rsidR="00EB3DEF">
        <w:rPr>
          <w:rFonts w:eastAsia="Calibri" w:cs="Calibri"/>
          <w:iCs/>
          <w:color w:val="000000"/>
          <w:szCs w:val="24"/>
        </w:rPr>
        <w:t xml:space="preserve"> production services through</w:t>
      </w:r>
      <w:r w:rsidRPr="00171205">
        <w:rPr>
          <w:rFonts w:eastAsia="Calibri" w:cs="Calibri"/>
          <w:iCs/>
          <w:color w:val="000000"/>
          <w:szCs w:val="24"/>
        </w:rPr>
        <w:t xml:space="preserve"> UNG Press Services: $</w:t>
      </w:r>
      <w:r w:rsidR="00E66C70">
        <w:rPr>
          <w:rFonts w:eastAsia="Calibri" w:cs="Calibri"/>
          <w:iCs/>
          <w:color w:val="000000"/>
          <w:szCs w:val="24"/>
        </w:rPr>
        <w:t>2</w:t>
      </w:r>
      <w:r w:rsidR="00EB3DEF">
        <w:rPr>
          <w:rFonts w:eastAsia="Calibri" w:cs="Calibri"/>
          <w:iCs/>
          <w:color w:val="000000"/>
          <w:szCs w:val="24"/>
        </w:rPr>
        <w:t>,</w:t>
      </w:r>
      <w:r w:rsidR="00E66C70">
        <w:rPr>
          <w:rFonts w:eastAsia="Calibri" w:cs="Calibri"/>
          <w:iCs/>
          <w:color w:val="000000"/>
          <w:szCs w:val="24"/>
        </w:rPr>
        <w:t>0</w:t>
      </w:r>
      <w:r w:rsidRPr="00171205">
        <w:rPr>
          <w:iCs/>
        </w:rPr>
        <w:t xml:space="preserve">00 </w:t>
      </w:r>
    </w:p>
    <w:p w14:paraId="3FF6D036" w14:textId="4D62C5A8" w:rsidR="00BF01AC" w:rsidRPr="00171205" w:rsidRDefault="00BF01AC" w:rsidP="001F5AEB">
      <w:pPr>
        <w:numPr>
          <w:ilvl w:val="0"/>
          <w:numId w:val="28"/>
        </w:numPr>
        <w:pBdr>
          <w:top w:val="nil"/>
          <w:left w:val="nil"/>
          <w:bottom w:val="nil"/>
          <w:right w:val="nil"/>
          <w:between w:val="nil"/>
        </w:pBdr>
        <w:jc w:val="left"/>
        <w:rPr>
          <w:rFonts w:eastAsia="Calibri" w:cs="Calibri"/>
          <w:iCs/>
          <w:color w:val="000000"/>
          <w:szCs w:val="24"/>
        </w:rPr>
      </w:pPr>
      <w:r>
        <w:rPr>
          <w:b/>
          <w:bCs/>
          <w:iCs/>
        </w:rPr>
        <w:t>TOTAL: $10,000</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0C1D3560" w:rsidR="00572CB5" w:rsidRPr="003A2B2B" w:rsidRDefault="007F7E11" w:rsidP="00FF34E9">
            <w:pPr>
              <w:jc w:val="left"/>
              <w:rPr>
                <w:i/>
              </w:rPr>
            </w:pPr>
            <w:r w:rsidRPr="00801254">
              <w:rPr>
                <w:iCs/>
              </w:rPr>
              <w:t xml:space="preserve">John </w:t>
            </w:r>
            <w:proofErr w:type="spellStart"/>
            <w:r w:rsidRPr="00801254">
              <w:rPr>
                <w:iCs/>
              </w:rPr>
              <w:t>Havard</w:t>
            </w:r>
            <w:proofErr w:type="spellEnd"/>
            <w:r w:rsidRPr="00801254">
              <w:rPr>
                <w:iCs/>
              </w:rPr>
              <w:t>, Chair of the Kennesaw State University English Department</w:t>
            </w:r>
          </w:p>
        </w:tc>
      </w:tr>
    </w:tbl>
    <w:p w14:paraId="38637EFB" w14:textId="77777777" w:rsidR="00572CB5" w:rsidRDefault="00572CB5" w:rsidP="00572CB5">
      <w:pPr>
        <w:jc w:val="left"/>
        <w:rPr>
          <w:i/>
        </w:rPr>
      </w:pPr>
    </w:p>
    <w:p w14:paraId="3CC9C623" w14:textId="77777777" w:rsidR="00544230" w:rsidRDefault="00544230" w:rsidP="00D12473">
      <w:pPr>
        <w:pStyle w:val="Heading1"/>
      </w:pPr>
      <w:r>
        <w:lastRenderedPageBreak/>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554B88E3" w:rsidR="00572CB5" w:rsidRPr="003A2B2B" w:rsidRDefault="007F7E11" w:rsidP="00FF34E9">
            <w:pPr>
              <w:rPr>
                <w:i/>
                <w:iCs/>
              </w:rPr>
            </w:pPr>
            <w:r w:rsidRPr="00801254">
              <w:rPr>
                <w:iCs/>
              </w:rPr>
              <w:t>Kimberly Hunt, Grants and Contract Manager - Pre-Award</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8"/>
      <w:head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7E8A" w14:textId="77777777" w:rsidR="00A81649" w:rsidRDefault="00A81649" w:rsidP="00FD120E">
      <w:pPr>
        <w:spacing w:after="0"/>
      </w:pPr>
      <w:r>
        <w:separator/>
      </w:r>
    </w:p>
  </w:endnote>
  <w:endnote w:type="continuationSeparator" w:id="0">
    <w:p w14:paraId="33377C9C" w14:textId="77777777" w:rsidR="00A81649" w:rsidRDefault="00A81649" w:rsidP="00FD120E">
      <w:pPr>
        <w:spacing w:after="0"/>
      </w:pPr>
      <w:r>
        <w:continuationSeparator/>
      </w:r>
    </w:p>
  </w:endnote>
  <w:endnote w:type="continuationNotice" w:id="1">
    <w:p w14:paraId="06EB3952" w14:textId="77777777" w:rsidR="00A81649" w:rsidRDefault="00A816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0DC8" w14:textId="77777777" w:rsidR="00A81649" w:rsidRDefault="00A81649" w:rsidP="00FD120E">
      <w:pPr>
        <w:spacing w:after="0"/>
      </w:pPr>
      <w:r>
        <w:separator/>
      </w:r>
    </w:p>
  </w:footnote>
  <w:footnote w:type="continuationSeparator" w:id="0">
    <w:p w14:paraId="1ADFE7C2" w14:textId="77777777" w:rsidR="00A81649" w:rsidRDefault="00A81649" w:rsidP="00FD120E">
      <w:pPr>
        <w:spacing w:after="0"/>
      </w:pPr>
      <w:r>
        <w:continuationSeparator/>
      </w:r>
    </w:p>
  </w:footnote>
  <w:footnote w:type="continuationNotice" w:id="1">
    <w:p w14:paraId="6CD97379" w14:textId="77777777" w:rsidR="00A81649" w:rsidRDefault="00A816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C68"/>
    <w:multiLevelType w:val="multilevel"/>
    <w:tmpl w:val="01BE4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E5901"/>
    <w:multiLevelType w:val="multilevel"/>
    <w:tmpl w:val="9A5AE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903FD"/>
    <w:multiLevelType w:val="multilevel"/>
    <w:tmpl w:val="6C86D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021D"/>
    <w:multiLevelType w:val="multilevel"/>
    <w:tmpl w:val="9920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F2A70"/>
    <w:multiLevelType w:val="multilevel"/>
    <w:tmpl w:val="9E327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941AA8"/>
    <w:multiLevelType w:val="multilevel"/>
    <w:tmpl w:val="A4246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F60E81"/>
    <w:multiLevelType w:val="hybridMultilevel"/>
    <w:tmpl w:val="8E9E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40CCE"/>
    <w:multiLevelType w:val="multilevel"/>
    <w:tmpl w:val="E062A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1A6E21"/>
    <w:multiLevelType w:val="multilevel"/>
    <w:tmpl w:val="6046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87D35"/>
    <w:multiLevelType w:val="multilevel"/>
    <w:tmpl w:val="5270F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E93998"/>
    <w:multiLevelType w:val="multilevel"/>
    <w:tmpl w:val="76C4A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5064FC"/>
    <w:multiLevelType w:val="multilevel"/>
    <w:tmpl w:val="D2F48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0735A8"/>
    <w:multiLevelType w:val="multilevel"/>
    <w:tmpl w:val="61F6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F3D6358"/>
    <w:multiLevelType w:val="multilevel"/>
    <w:tmpl w:val="04FEF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3247EE"/>
    <w:multiLevelType w:val="multilevel"/>
    <w:tmpl w:val="925AF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05F0A"/>
    <w:multiLevelType w:val="multilevel"/>
    <w:tmpl w:val="99446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
  </w:num>
  <w:num w:numId="4">
    <w:abstractNumId w:val="7"/>
  </w:num>
  <w:num w:numId="5">
    <w:abstractNumId w:val="6"/>
  </w:num>
  <w:num w:numId="6">
    <w:abstractNumId w:val="12"/>
  </w:num>
  <w:num w:numId="7">
    <w:abstractNumId w:val="25"/>
  </w:num>
  <w:num w:numId="8">
    <w:abstractNumId w:val="21"/>
  </w:num>
  <w:num w:numId="9">
    <w:abstractNumId w:val="4"/>
  </w:num>
  <w:num w:numId="10">
    <w:abstractNumId w:val="8"/>
  </w:num>
  <w:num w:numId="11">
    <w:abstractNumId w:val="24"/>
  </w:num>
  <w:num w:numId="12">
    <w:abstractNumId w:val="11"/>
  </w:num>
  <w:num w:numId="13">
    <w:abstractNumId w:val="15"/>
  </w:num>
  <w:num w:numId="14">
    <w:abstractNumId w:val="19"/>
  </w:num>
  <w:num w:numId="15">
    <w:abstractNumId w:val="0"/>
  </w:num>
  <w:num w:numId="16">
    <w:abstractNumId w:val="10"/>
  </w:num>
  <w:num w:numId="17">
    <w:abstractNumId w:val="2"/>
  </w:num>
  <w:num w:numId="18">
    <w:abstractNumId w:val="9"/>
  </w:num>
  <w:num w:numId="19">
    <w:abstractNumId w:val="20"/>
  </w:num>
  <w:num w:numId="20">
    <w:abstractNumId w:val="16"/>
  </w:num>
  <w:num w:numId="21">
    <w:abstractNumId w:val="23"/>
  </w:num>
  <w:num w:numId="22">
    <w:abstractNumId w:val="14"/>
  </w:num>
  <w:num w:numId="23">
    <w:abstractNumId w:val="5"/>
  </w:num>
  <w:num w:numId="24">
    <w:abstractNumId w:val="22"/>
  </w:num>
  <w:num w:numId="25">
    <w:abstractNumId w:val="18"/>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95C88"/>
    <w:rsid w:val="000C1BF5"/>
    <w:rsid w:val="000D2AB0"/>
    <w:rsid w:val="000D3A53"/>
    <w:rsid w:val="000D6D96"/>
    <w:rsid w:val="000E15D6"/>
    <w:rsid w:val="000F3354"/>
    <w:rsid w:val="00112807"/>
    <w:rsid w:val="00114F13"/>
    <w:rsid w:val="00125938"/>
    <w:rsid w:val="0013171A"/>
    <w:rsid w:val="001337A4"/>
    <w:rsid w:val="0014773E"/>
    <w:rsid w:val="00151E0E"/>
    <w:rsid w:val="001722BA"/>
    <w:rsid w:val="00182F62"/>
    <w:rsid w:val="00185A5B"/>
    <w:rsid w:val="00186AFF"/>
    <w:rsid w:val="001A695F"/>
    <w:rsid w:val="001D4CF2"/>
    <w:rsid w:val="001D63D5"/>
    <w:rsid w:val="001F5AEB"/>
    <w:rsid w:val="0023728D"/>
    <w:rsid w:val="00251EFC"/>
    <w:rsid w:val="0025595C"/>
    <w:rsid w:val="002733A6"/>
    <w:rsid w:val="00291B1A"/>
    <w:rsid w:val="002A3E3E"/>
    <w:rsid w:val="002A679E"/>
    <w:rsid w:val="002B7824"/>
    <w:rsid w:val="002C52DB"/>
    <w:rsid w:val="002C7439"/>
    <w:rsid w:val="002D5497"/>
    <w:rsid w:val="002E66B9"/>
    <w:rsid w:val="003303B4"/>
    <w:rsid w:val="00352ADC"/>
    <w:rsid w:val="00356F78"/>
    <w:rsid w:val="00365AB4"/>
    <w:rsid w:val="003867FC"/>
    <w:rsid w:val="00387037"/>
    <w:rsid w:val="003A1AC7"/>
    <w:rsid w:val="003B4B4A"/>
    <w:rsid w:val="003C350B"/>
    <w:rsid w:val="003C5986"/>
    <w:rsid w:val="003D0C11"/>
    <w:rsid w:val="003E12A1"/>
    <w:rsid w:val="00413F44"/>
    <w:rsid w:val="00441675"/>
    <w:rsid w:val="00442211"/>
    <w:rsid w:val="00442C0D"/>
    <w:rsid w:val="00446A77"/>
    <w:rsid w:val="004531DC"/>
    <w:rsid w:val="004730A4"/>
    <w:rsid w:val="004866FB"/>
    <w:rsid w:val="004B10B8"/>
    <w:rsid w:val="004C04A8"/>
    <w:rsid w:val="004C6D54"/>
    <w:rsid w:val="004D42FE"/>
    <w:rsid w:val="00502BE1"/>
    <w:rsid w:val="00524BE0"/>
    <w:rsid w:val="00544230"/>
    <w:rsid w:val="0055284A"/>
    <w:rsid w:val="00566366"/>
    <w:rsid w:val="00572CB5"/>
    <w:rsid w:val="005C0D8E"/>
    <w:rsid w:val="005C30D8"/>
    <w:rsid w:val="005D60B0"/>
    <w:rsid w:val="005D73BD"/>
    <w:rsid w:val="005D772F"/>
    <w:rsid w:val="005F4AAC"/>
    <w:rsid w:val="005F5F08"/>
    <w:rsid w:val="0062380D"/>
    <w:rsid w:val="006244E0"/>
    <w:rsid w:val="0063108D"/>
    <w:rsid w:val="00636C78"/>
    <w:rsid w:val="00641EC2"/>
    <w:rsid w:val="0064266E"/>
    <w:rsid w:val="006534C5"/>
    <w:rsid w:val="00671290"/>
    <w:rsid w:val="00676337"/>
    <w:rsid w:val="006B26B4"/>
    <w:rsid w:val="006D1F3E"/>
    <w:rsid w:val="006F36B7"/>
    <w:rsid w:val="006F4255"/>
    <w:rsid w:val="006F4EE5"/>
    <w:rsid w:val="007055EC"/>
    <w:rsid w:val="00725343"/>
    <w:rsid w:val="00735D8F"/>
    <w:rsid w:val="00767F01"/>
    <w:rsid w:val="0077645F"/>
    <w:rsid w:val="007843DB"/>
    <w:rsid w:val="0079453D"/>
    <w:rsid w:val="007963BA"/>
    <w:rsid w:val="00797321"/>
    <w:rsid w:val="00797934"/>
    <w:rsid w:val="007B3999"/>
    <w:rsid w:val="007C2B40"/>
    <w:rsid w:val="007E7A57"/>
    <w:rsid w:val="007F6B0C"/>
    <w:rsid w:val="007F7E11"/>
    <w:rsid w:val="0082497C"/>
    <w:rsid w:val="00827A35"/>
    <w:rsid w:val="0083767E"/>
    <w:rsid w:val="008414ED"/>
    <w:rsid w:val="008479C9"/>
    <w:rsid w:val="00897875"/>
    <w:rsid w:val="008C360C"/>
    <w:rsid w:val="008E6FC1"/>
    <w:rsid w:val="0090571E"/>
    <w:rsid w:val="00911BD0"/>
    <w:rsid w:val="00914CE4"/>
    <w:rsid w:val="00943C6F"/>
    <w:rsid w:val="009531D8"/>
    <w:rsid w:val="0095528A"/>
    <w:rsid w:val="0097374E"/>
    <w:rsid w:val="00976C18"/>
    <w:rsid w:val="00980EE8"/>
    <w:rsid w:val="009B0924"/>
    <w:rsid w:val="009B4812"/>
    <w:rsid w:val="009B70ED"/>
    <w:rsid w:val="009E5664"/>
    <w:rsid w:val="009E5DB1"/>
    <w:rsid w:val="00A11F41"/>
    <w:rsid w:val="00A2666F"/>
    <w:rsid w:val="00A33572"/>
    <w:rsid w:val="00A51DB2"/>
    <w:rsid w:val="00A52F86"/>
    <w:rsid w:val="00A631C2"/>
    <w:rsid w:val="00A81649"/>
    <w:rsid w:val="00A958DB"/>
    <w:rsid w:val="00AA3F5C"/>
    <w:rsid w:val="00AB1BC4"/>
    <w:rsid w:val="00AF3D7E"/>
    <w:rsid w:val="00B16612"/>
    <w:rsid w:val="00B46327"/>
    <w:rsid w:val="00B46745"/>
    <w:rsid w:val="00B47865"/>
    <w:rsid w:val="00B52ED7"/>
    <w:rsid w:val="00B61D64"/>
    <w:rsid w:val="00B72091"/>
    <w:rsid w:val="00B93679"/>
    <w:rsid w:val="00B95AEA"/>
    <w:rsid w:val="00BA03E8"/>
    <w:rsid w:val="00BA40DB"/>
    <w:rsid w:val="00BD427F"/>
    <w:rsid w:val="00BF01AC"/>
    <w:rsid w:val="00BF6072"/>
    <w:rsid w:val="00C15216"/>
    <w:rsid w:val="00C1617D"/>
    <w:rsid w:val="00C17D6E"/>
    <w:rsid w:val="00C2004F"/>
    <w:rsid w:val="00C3564F"/>
    <w:rsid w:val="00C4485A"/>
    <w:rsid w:val="00C46232"/>
    <w:rsid w:val="00C46808"/>
    <w:rsid w:val="00C54090"/>
    <w:rsid w:val="00C613A6"/>
    <w:rsid w:val="00C66323"/>
    <w:rsid w:val="00C71960"/>
    <w:rsid w:val="00C93276"/>
    <w:rsid w:val="00C96436"/>
    <w:rsid w:val="00CA0550"/>
    <w:rsid w:val="00CA14A2"/>
    <w:rsid w:val="00CA1B7C"/>
    <w:rsid w:val="00CB218A"/>
    <w:rsid w:val="00CB7270"/>
    <w:rsid w:val="00CC0511"/>
    <w:rsid w:val="00CC073F"/>
    <w:rsid w:val="00CD04C2"/>
    <w:rsid w:val="00D0176E"/>
    <w:rsid w:val="00D10126"/>
    <w:rsid w:val="00D14429"/>
    <w:rsid w:val="00D222A7"/>
    <w:rsid w:val="00D23FE0"/>
    <w:rsid w:val="00D34F5D"/>
    <w:rsid w:val="00D4258C"/>
    <w:rsid w:val="00D6005F"/>
    <w:rsid w:val="00D615BC"/>
    <w:rsid w:val="00DC0F66"/>
    <w:rsid w:val="00E02A97"/>
    <w:rsid w:val="00E02E2A"/>
    <w:rsid w:val="00E26F15"/>
    <w:rsid w:val="00E5261E"/>
    <w:rsid w:val="00E6109D"/>
    <w:rsid w:val="00E66C70"/>
    <w:rsid w:val="00E81E06"/>
    <w:rsid w:val="00E83655"/>
    <w:rsid w:val="00EA1089"/>
    <w:rsid w:val="00EB3DEF"/>
    <w:rsid w:val="00EC0074"/>
    <w:rsid w:val="00ED46D7"/>
    <w:rsid w:val="00EE1D15"/>
    <w:rsid w:val="00EE40D8"/>
    <w:rsid w:val="00F07800"/>
    <w:rsid w:val="00F235DF"/>
    <w:rsid w:val="00F5134B"/>
    <w:rsid w:val="00F56A94"/>
    <w:rsid w:val="00F719AE"/>
    <w:rsid w:val="00F83D54"/>
    <w:rsid w:val="00FB1229"/>
    <w:rsid w:val="00FB25C8"/>
    <w:rsid w:val="00FB4638"/>
    <w:rsid w:val="00FD120E"/>
    <w:rsid w:val="00FE1673"/>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96220">
      <w:bodyDiv w:val="1"/>
      <w:marLeft w:val="0"/>
      <w:marRight w:val="0"/>
      <w:marTop w:val="0"/>
      <w:marBottom w:val="0"/>
      <w:divBdr>
        <w:top w:val="none" w:sz="0" w:space="0" w:color="auto"/>
        <w:left w:val="none" w:sz="0" w:space="0" w:color="auto"/>
        <w:bottom w:val="none" w:sz="0" w:space="0" w:color="auto"/>
        <w:right w:val="none" w:sz="0" w:space="0" w:color="auto"/>
      </w:divBdr>
      <w:divsChild>
        <w:div w:id="1942570123">
          <w:marLeft w:val="0"/>
          <w:marRight w:val="0"/>
          <w:marTop w:val="0"/>
          <w:marBottom w:val="0"/>
          <w:divBdr>
            <w:top w:val="none" w:sz="0" w:space="0" w:color="auto"/>
            <w:left w:val="none" w:sz="0" w:space="0" w:color="auto"/>
            <w:bottom w:val="none" w:sz="0" w:space="0" w:color="auto"/>
            <w:right w:val="none" w:sz="0" w:space="0" w:color="auto"/>
          </w:divBdr>
        </w:div>
        <w:div w:id="468594657">
          <w:marLeft w:val="0"/>
          <w:marRight w:val="0"/>
          <w:marTop w:val="0"/>
          <w:marBottom w:val="0"/>
          <w:divBdr>
            <w:top w:val="none" w:sz="0" w:space="0" w:color="auto"/>
            <w:left w:val="none" w:sz="0" w:space="0" w:color="auto"/>
            <w:bottom w:val="none" w:sz="0" w:space="0" w:color="auto"/>
            <w:right w:val="none" w:sz="0" w:space="0" w:color="auto"/>
          </w:divBdr>
        </w:div>
        <w:div w:id="1754283013">
          <w:marLeft w:val="0"/>
          <w:marRight w:val="0"/>
          <w:marTop w:val="0"/>
          <w:marBottom w:val="0"/>
          <w:divBdr>
            <w:top w:val="none" w:sz="0" w:space="0" w:color="auto"/>
            <w:left w:val="none" w:sz="0" w:space="0" w:color="auto"/>
            <w:bottom w:val="none" w:sz="0" w:space="0" w:color="auto"/>
            <w:right w:val="none" w:sz="0" w:space="0" w:color="auto"/>
          </w:divBdr>
        </w:div>
        <w:div w:id="534470146">
          <w:marLeft w:val="0"/>
          <w:marRight w:val="0"/>
          <w:marTop w:val="0"/>
          <w:marBottom w:val="0"/>
          <w:divBdr>
            <w:top w:val="none" w:sz="0" w:space="0" w:color="auto"/>
            <w:left w:val="none" w:sz="0" w:space="0" w:color="auto"/>
            <w:bottom w:val="none" w:sz="0" w:space="0" w:color="auto"/>
            <w:right w:val="none" w:sz="0" w:space="0" w:color="auto"/>
          </w:divBdr>
        </w:div>
        <w:div w:id="351423225">
          <w:marLeft w:val="0"/>
          <w:marRight w:val="0"/>
          <w:marTop w:val="0"/>
          <w:marBottom w:val="0"/>
          <w:divBdr>
            <w:top w:val="none" w:sz="0" w:space="0" w:color="auto"/>
            <w:left w:val="none" w:sz="0" w:space="0" w:color="auto"/>
            <w:bottom w:val="none" w:sz="0" w:space="0" w:color="auto"/>
            <w:right w:val="none" w:sz="0" w:space="0" w:color="auto"/>
          </w:divBdr>
        </w:div>
        <w:div w:id="121118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essibility.kennesaw.edu/basic_accessibility_solutions/what_is_accessibility.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cc.ncte.org/cccc/resources/positions/disabilitypolicy" TargetMode="External"/><Relationship Id="rId17"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hyperlink" Target="https://it.wisc.edu/news/digital-accessibility-a-pandemic-look-back-and-forwar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WAI/fundamentals/accessibility-in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2563</Words>
  <Characters>14615</Characters>
  <Application>Microsoft Office Word</Application>
  <DocSecurity>0</DocSecurity>
  <Lines>121</Lines>
  <Paragraphs>34</Paragraphs>
  <ScaleCrop>false</ScaleCrop>
  <Company>University System of Georgia Board of Regents</Company>
  <LinksUpToDate>false</LinksUpToDate>
  <CharactersWithSpaces>17144</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Erin Bahl</cp:lastModifiedBy>
  <cp:revision>99</cp:revision>
  <dcterms:created xsi:type="dcterms:W3CDTF">2020-07-16T16:43:00Z</dcterms:created>
  <dcterms:modified xsi:type="dcterms:W3CDTF">2022-03-11T19:14:00Z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