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77777777" w:rsidR="005550F1" w:rsidRDefault="005550F1" w:rsidP="005550F1">
      <w:pPr>
        <w:pStyle w:val="Title"/>
        <w:jc w:val="center"/>
        <w:rPr>
          <w:sz w:val="36"/>
          <w:szCs w:val="36"/>
        </w:rPr>
      </w:pPr>
      <w:r w:rsidRPr="6BF9256F">
        <w:rPr>
          <w:sz w:val="36"/>
          <w:szCs w:val="36"/>
        </w:rPr>
        <w:t xml:space="preserve">Affordable Materials Grants, Round </w:t>
      </w:r>
      <w:r>
        <w:rPr>
          <w:sz w:val="36"/>
          <w:szCs w:val="36"/>
        </w:rPr>
        <w:t>21</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5550F1">
      <w:pPr>
        <w:pStyle w:val="Title"/>
        <w:jc w:val="center"/>
        <w:rPr>
          <w:sz w:val="36"/>
        </w:rPr>
      </w:pPr>
      <w:r>
        <w:rPr>
          <w:sz w:val="36"/>
        </w:rPr>
        <w:t>(Spring 2022-Spring 2023</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5550F1">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r>
              <w:t>Requested information</w:t>
            </w:r>
          </w:p>
        </w:tc>
        <w:tc>
          <w:tcPr>
            <w:tcW w:w="6120" w:type="dxa"/>
          </w:tcPr>
          <w:p w14:paraId="12C19CBA" w14:textId="63B591DA" w:rsidR="002D5497" w:rsidRDefault="002D5497" w:rsidP="00725343">
            <w:pPr>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r>
              <w:t>Institution(s)</w:t>
            </w:r>
          </w:p>
        </w:tc>
        <w:tc>
          <w:tcPr>
            <w:tcW w:w="6120" w:type="dxa"/>
          </w:tcPr>
          <w:p w14:paraId="537BA3AF" w14:textId="1C082196" w:rsidR="00725343" w:rsidRDefault="00CC1CE4" w:rsidP="00725343">
            <w:pPr>
              <w:cnfStyle w:val="000000100000" w:firstRow="0" w:lastRow="0" w:firstColumn="0" w:lastColumn="0" w:oddVBand="0" w:evenVBand="0" w:oddHBand="1" w:evenHBand="0" w:firstRowFirstColumn="0" w:firstRowLastColumn="0" w:lastRowFirstColumn="0" w:lastRowLastColumn="0"/>
            </w:pPr>
            <w:r>
              <w:t>Fort Valley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r>
              <w:t xml:space="preserve">Applicant </w:t>
            </w:r>
            <w:r w:rsidR="002D5497">
              <w:t>n</w:t>
            </w:r>
            <w:r>
              <w:t>ame</w:t>
            </w:r>
          </w:p>
        </w:tc>
        <w:tc>
          <w:tcPr>
            <w:tcW w:w="6120" w:type="dxa"/>
          </w:tcPr>
          <w:p w14:paraId="0CF0A4D3" w14:textId="67325915" w:rsidR="00725343" w:rsidRDefault="00CC1CE4" w:rsidP="00725343">
            <w:pPr>
              <w:cnfStyle w:val="000000000000" w:firstRow="0" w:lastRow="0" w:firstColumn="0" w:lastColumn="0" w:oddVBand="0" w:evenVBand="0" w:oddHBand="0" w:evenHBand="0" w:firstRowFirstColumn="0" w:firstRowLastColumn="0" w:lastRowFirstColumn="0" w:lastRowLastColumn="0"/>
            </w:pPr>
            <w:r>
              <w:t>Shanah Grant, Ph.D.</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r>
              <w:t xml:space="preserve">Applicant </w:t>
            </w:r>
            <w:r w:rsidR="002D5497">
              <w:t>e</w:t>
            </w:r>
            <w:r>
              <w:t xml:space="preserve">mail </w:t>
            </w:r>
          </w:p>
        </w:tc>
        <w:tc>
          <w:tcPr>
            <w:tcW w:w="6120" w:type="dxa"/>
          </w:tcPr>
          <w:p w14:paraId="15558855" w14:textId="1C6B7F47" w:rsidR="00725343" w:rsidRDefault="00CC1CE4" w:rsidP="00725343">
            <w:pPr>
              <w:cnfStyle w:val="000000100000" w:firstRow="0" w:lastRow="0" w:firstColumn="0" w:lastColumn="0" w:oddVBand="0" w:evenVBand="0" w:oddHBand="1" w:evenHBand="0" w:firstRowFirstColumn="0" w:firstRowLastColumn="0" w:lastRowFirstColumn="0" w:lastRowLastColumn="0"/>
            </w:pPr>
            <w:r>
              <w:t>shanah.grant@fvsu.edu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r>
              <w:t xml:space="preserve">Applicant </w:t>
            </w:r>
            <w:r w:rsidR="002D5497">
              <w:t>p</w:t>
            </w:r>
            <w:r>
              <w:t>osition/</w:t>
            </w:r>
            <w:r w:rsidR="002D5497">
              <w:t>t</w:t>
            </w:r>
            <w:r>
              <w:t>itle</w:t>
            </w:r>
          </w:p>
        </w:tc>
        <w:tc>
          <w:tcPr>
            <w:tcW w:w="6120" w:type="dxa"/>
          </w:tcPr>
          <w:p w14:paraId="3BBEDA31" w14:textId="0CED3927" w:rsidR="00725343" w:rsidRDefault="00CC1CE4" w:rsidP="00725343">
            <w:pPr>
              <w:cnfStyle w:val="000000000000" w:firstRow="0" w:lastRow="0" w:firstColumn="0" w:lastColumn="0" w:oddVBand="0" w:evenVBand="0" w:oddHBand="0" w:evenHBand="0" w:firstRowFirstColumn="0" w:firstRowLastColumn="0" w:lastRowFirstColumn="0" w:lastRowLastColumn="0"/>
            </w:pPr>
            <w:r>
              <w:t>Assistant Professor</w:t>
            </w:r>
          </w:p>
        </w:tc>
      </w:tr>
      <w:tr w:rsidR="00CC1CE4"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CC1CE4" w:rsidRDefault="00CC1CE4" w:rsidP="00CC1CE4">
            <w:r>
              <w:t xml:space="preserve">Submitter name </w:t>
            </w:r>
          </w:p>
        </w:tc>
        <w:tc>
          <w:tcPr>
            <w:tcW w:w="6120" w:type="dxa"/>
          </w:tcPr>
          <w:p w14:paraId="2877A289" w14:textId="01922708" w:rsidR="00CC1CE4" w:rsidRDefault="00CC1CE4" w:rsidP="00CC1CE4">
            <w:pPr>
              <w:cnfStyle w:val="000000100000" w:firstRow="0" w:lastRow="0" w:firstColumn="0" w:lastColumn="0" w:oddVBand="0" w:evenVBand="0" w:oddHBand="1" w:evenHBand="0" w:firstRowFirstColumn="0" w:firstRowLastColumn="0" w:lastRowFirstColumn="0" w:lastRowLastColumn="0"/>
            </w:pPr>
            <w:r>
              <w:t>Shanah Grant, Ph.D.</w:t>
            </w:r>
          </w:p>
        </w:tc>
      </w:tr>
      <w:tr w:rsidR="00CC1CE4"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CC1CE4" w:rsidRDefault="00CC1CE4" w:rsidP="00CC1CE4">
            <w:r>
              <w:t xml:space="preserve">Submitter email </w:t>
            </w:r>
          </w:p>
        </w:tc>
        <w:tc>
          <w:tcPr>
            <w:tcW w:w="6120" w:type="dxa"/>
          </w:tcPr>
          <w:p w14:paraId="21E89ED7" w14:textId="5EF01341" w:rsidR="00CC1CE4" w:rsidRDefault="00CC1CE4" w:rsidP="00CC1CE4">
            <w:pPr>
              <w:cnfStyle w:val="000000000000" w:firstRow="0" w:lastRow="0" w:firstColumn="0" w:lastColumn="0" w:oddVBand="0" w:evenVBand="0" w:oddHBand="0" w:evenHBand="0" w:firstRowFirstColumn="0" w:firstRowLastColumn="0" w:lastRowFirstColumn="0" w:lastRowLastColumn="0"/>
            </w:pPr>
            <w:r>
              <w:t>shanah.grant@fvsu.edu</w:t>
            </w:r>
          </w:p>
        </w:tc>
      </w:tr>
      <w:tr w:rsidR="00CC1CE4"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CC1CE4" w:rsidRDefault="00CC1CE4" w:rsidP="00CC1CE4">
            <w:r>
              <w:t>Submitter position/title</w:t>
            </w:r>
          </w:p>
        </w:tc>
        <w:tc>
          <w:tcPr>
            <w:tcW w:w="6120" w:type="dxa"/>
          </w:tcPr>
          <w:p w14:paraId="2D858DED" w14:textId="3B1F996A" w:rsidR="00CC1CE4" w:rsidRDefault="00CC1CE4" w:rsidP="00CC1CE4">
            <w:pPr>
              <w:cnfStyle w:val="000000100000" w:firstRow="0" w:lastRow="0" w:firstColumn="0" w:lastColumn="0" w:oddVBand="0" w:evenVBand="0" w:oddHBand="1" w:evenHBand="0" w:firstRowFirstColumn="0" w:firstRowLastColumn="0" w:lastRowFirstColumn="0" w:lastRowLastColumn="0"/>
            </w:pPr>
            <w:r>
              <w:t>Assistant Professor</w:t>
            </w:r>
          </w:p>
        </w:tc>
      </w:tr>
    </w:tbl>
    <w:p w14:paraId="2E919FE5" w14:textId="77777777" w:rsidR="00725343" w:rsidRDefault="00725343" w:rsidP="00725343">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r>
              <w:t>Team member</w:t>
            </w:r>
          </w:p>
        </w:tc>
        <w:tc>
          <w:tcPr>
            <w:tcW w:w="2430" w:type="dxa"/>
          </w:tcPr>
          <w:p w14:paraId="2BA264BD" w14:textId="77777777" w:rsidR="00725343" w:rsidRDefault="00725343" w:rsidP="00725343">
            <w:pPr>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r>
              <w:t xml:space="preserve">Team </w:t>
            </w:r>
            <w:r w:rsidR="002D5497">
              <w:t>m</w:t>
            </w:r>
            <w:r>
              <w:t>ember 1</w:t>
            </w:r>
          </w:p>
        </w:tc>
        <w:tc>
          <w:tcPr>
            <w:tcW w:w="2430" w:type="dxa"/>
          </w:tcPr>
          <w:p w14:paraId="393FFEE9" w14:textId="63A28894" w:rsidR="00725343" w:rsidRDefault="00CC1CE4" w:rsidP="00725343">
            <w:pPr>
              <w:cnfStyle w:val="000000100000" w:firstRow="0" w:lastRow="0" w:firstColumn="0" w:lastColumn="0" w:oddVBand="0" w:evenVBand="0" w:oddHBand="1" w:evenHBand="0" w:firstRowFirstColumn="0" w:firstRowLastColumn="0" w:lastRowFirstColumn="0" w:lastRowLastColumn="0"/>
            </w:pPr>
            <w:r>
              <w:t>Samuel Cartwright, Ph.D.</w:t>
            </w:r>
          </w:p>
        </w:tc>
        <w:tc>
          <w:tcPr>
            <w:tcW w:w="5220" w:type="dxa"/>
          </w:tcPr>
          <w:p w14:paraId="672314AC" w14:textId="3EB05C08" w:rsidR="00725343" w:rsidRPr="00CC1CE4" w:rsidRDefault="00CC1CE4" w:rsidP="00CC1CE4">
            <w:pPr>
              <w:cnfStyle w:val="000000100000" w:firstRow="0" w:lastRow="0" w:firstColumn="0" w:lastColumn="0" w:oddVBand="0" w:evenVBand="0" w:oddHBand="1" w:evenHBand="0" w:firstRowFirstColumn="0" w:firstRowLastColumn="0" w:lastRowFirstColumn="0" w:lastRowLastColumn="0"/>
            </w:pPr>
            <w:r w:rsidRPr="00CC1CE4">
              <w:rPr>
                <w:rFonts w:ascii="Calibri" w:hAnsi="Calibri" w:cs="Calibri"/>
              </w:rPr>
              <w:t>cartwris@fvsu.edu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r>
              <w:t xml:space="preserve">Team </w:t>
            </w:r>
            <w:r w:rsidR="002D5497">
              <w:t>m</w:t>
            </w:r>
            <w:r>
              <w:t>ember 2</w:t>
            </w:r>
          </w:p>
        </w:tc>
        <w:tc>
          <w:tcPr>
            <w:tcW w:w="2430" w:type="dxa"/>
          </w:tcPr>
          <w:p w14:paraId="6ECBEB99" w14:textId="1ACEA920" w:rsidR="00725343" w:rsidRDefault="00CC1CE4" w:rsidP="00725343">
            <w:pPr>
              <w:cnfStyle w:val="000000000000" w:firstRow="0" w:lastRow="0" w:firstColumn="0" w:lastColumn="0" w:oddVBand="0" w:evenVBand="0" w:oddHBand="0" w:evenHBand="0" w:firstRowFirstColumn="0" w:firstRowLastColumn="0" w:lastRowFirstColumn="0" w:lastRowLastColumn="0"/>
            </w:pPr>
            <w:r>
              <w:t>Bhavana Burell</w:t>
            </w:r>
          </w:p>
        </w:tc>
        <w:tc>
          <w:tcPr>
            <w:tcW w:w="5220" w:type="dxa"/>
          </w:tcPr>
          <w:p w14:paraId="201A2C1F" w14:textId="6CDC4BEF" w:rsidR="00725343" w:rsidRDefault="00CC1CE4" w:rsidP="00725343">
            <w:pPr>
              <w:cnfStyle w:val="000000000000" w:firstRow="0" w:lastRow="0" w:firstColumn="0" w:lastColumn="0" w:oddVBand="0" w:evenVBand="0" w:oddHBand="0" w:evenHBand="0" w:firstRowFirstColumn="0" w:firstRowLastColumn="0" w:lastRowFirstColumn="0" w:lastRowLastColumn="0"/>
            </w:pPr>
            <w:r>
              <w:rPr>
                <w:rFonts w:eastAsiaTheme="minorHAnsi"/>
              </w:rPr>
              <w:t>burellb@fvsu.edu</w:t>
            </w:r>
          </w:p>
        </w:tc>
      </w:tr>
    </w:tbl>
    <w:p w14:paraId="6A86B74A" w14:textId="77777777" w:rsidR="00725343" w:rsidRDefault="00F56A94" w:rsidP="00725343">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536E111C" w:rsidR="00F56A94" w:rsidRDefault="00CC1CE4" w:rsidP="00725343">
            <w:r>
              <w:lastRenderedPageBreak/>
              <w:t>N/A</w:t>
            </w:r>
          </w:p>
        </w:tc>
      </w:tr>
    </w:tbl>
    <w:p w14:paraId="2F2B88E9" w14:textId="77777777" w:rsidR="00EE40D8" w:rsidRDefault="00EE40D8" w:rsidP="00725343"/>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rPr>
                <w:bCs w:val="0"/>
              </w:rPr>
            </w:pPr>
            <w:r w:rsidRPr="00E83655">
              <w:t>Requested information</w:t>
            </w:r>
          </w:p>
        </w:tc>
        <w:tc>
          <w:tcPr>
            <w:tcW w:w="5310" w:type="dxa"/>
          </w:tcPr>
          <w:p w14:paraId="5D75F585" w14:textId="2967F1CB" w:rsidR="00E83655" w:rsidRPr="00A244B5" w:rsidRDefault="00E83655" w:rsidP="0063108D">
            <w:pPr>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rPr>
                <w:b w:val="0"/>
                <w:bCs w:val="0"/>
              </w:rPr>
            </w:pPr>
            <w:r>
              <w:t>Priority Category / Categories</w:t>
            </w:r>
          </w:p>
          <w:p w14:paraId="1EDE5A4E" w14:textId="5F4CCB11" w:rsidR="00465D2C" w:rsidRPr="00465D2C" w:rsidRDefault="00465D2C" w:rsidP="0063108D">
            <w:pPr>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10974398" w14:textId="24BC93F2" w:rsidR="001D4CF2" w:rsidRPr="00E23CB3" w:rsidRDefault="001D4CF2" w:rsidP="00E23CB3">
            <w:pPr>
              <w:cnfStyle w:val="000000100000" w:firstRow="0" w:lastRow="0" w:firstColumn="0" w:lastColumn="0" w:oddVBand="0" w:evenVBand="0" w:oddHBand="1" w:evenHBand="0" w:firstRowFirstColumn="0" w:firstRowLastColumn="0" w:lastRowFirstColumn="0" w:lastRowLastColumn="0"/>
              <w:rPr>
                <w:i/>
              </w:rPr>
            </w:pPr>
            <w:r w:rsidRPr="00E23CB3">
              <w:rPr>
                <w:i/>
              </w:rPr>
              <w:t>Collaborative Projects with Professional Support</w:t>
            </w:r>
          </w:p>
          <w:p w14:paraId="533B2A7E" w14:textId="32868441" w:rsidR="004C7EF2" w:rsidRPr="0055284A" w:rsidRDefault="004C7EF2" w:rsidP="0063108D">
            <w:pPr>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rPr>
                <w:b w:val="0"/>
                <w:bCs w:val="0"/>
              </w:rPr>
            </w:pPr>
            <w:r>
              <w:t xml:space="preserve">Requested </w:t>
            </w:r>
            <w:r w:rsidR="088FA25C">
              <w:t xml:space="preserve">Total </w:t>
            </w:r>
            <w:r>
              <w:t>Amount of Funding</w:t>
            </w:r>
          </w:p>
          <w:p w14:paraId="086D6703" w14:textId="1665DC45" w:rsidR="009C4B23" w:rsidRDefault="66D8A0C5" w:rsidP="49FCB884">
            <w:pPr>
              <w:rPr>
                <w:b w:val="0"/>
                <w:bCs w:val="0"/>
                <w:i/>
                <w:iCs/>
              </w:rPr>
            </w:pPr>
            <w:r w:rsidRPr="49FCB884">
              <w:rPr>
                <w:b w:val="0"/>
                <w:bCs w:val="0"/>
                <w:i/>
                <w:iCs/>
              </w:rPr>
              <w:t>$30,000 maximum total award per grant</w:t>
            </w:r>
          </w:p>
        </w:tc>
        <w:tc>
          <w:tcPr>
            <w:tcW w:w="5310" w:type="dxa"/>
          </w:tcPr>
          <w:p w14:paraId="6815A0A0" w14:textId="42651C39" w:rsidR="007F6B0C" w:rsidRPr="004C6D54" w:rsidRDefault="00CC1CE4" w:rsidP="49FCB884">
            <w:pPr>
              <w:cnfStyle w:val="000000000000" w:firstRow="0" w:lastRow="0" w:firstColumn="0" w:lastColumn="0" w:oddVBand="0" w:evenVBand="0" w:oddHBand="0" w:evenHBand="0" w:firstRowFirstColumn="0" w:firstRowLastColumn="0" w:lastRowFirstColumn="0" w:lastRowLastColumn="0"/>
              <w:rPr>
                <w:i/>
                <w:iCs/>
              </w:rPr>
            </w:pPr>
            <w:r w:rsidRPr="00B20727">
              <w:rPr>
                <w:i/>
                <w:iCs/>
              </w:rPr>
              <w:t>1</w:t>
            </w:r>
            <w:r w:rsidR="00B2685B">
              <w:rPr>
                <w:i/>
                <w:iCs/>
              </w:rPr>
              <w:t>6,964</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rPr>
                <w:b w:val="0"/>
              </w:rPr>
            </w:pPr>
            <w:r w:rsidRPr="0055284A">
              <w:t>Final Semester of Project</w:t>
            </w:r>
          </w:p>
        </w:tc>
        <w:tc>
          <w:tcPr>
            <w:tcW w:w="5310" w:type="dxa"/>
          </w:tcPr>
          <w:p w14:paraId="2D8D2A9A" w14:textId="3BD169F6" w:rsidR="0055284A" w:rsidRPr="00774B5E" w:rsidRDefault="004C7EF2" w:rsidP="004C6D54">
            <w:pPr>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w:t>
            </w:r>
            <w:r w:rsidR="002C741E">
              <w:rPr>
                <w:i/>
              </w:rPr>
              <w:t>2</w:t>
            </w:r>
            <w:r>
              <w:rPr>
                <w:i/>
              </w:rPr>
              <w:t xml:space="preserve"> end in </w:t>
            </w:r>
            <w:r w:rsidR="002C741E">
              <w:rPr>
                <w:i/>
              </w:rPr>
              <w:t>Spring</w:t>
            </w:r>
            <w:r>
              <w:rPr>
                <w:i/>
              </w:rPr>
              <w:t xml:space="preserve"> 202</w:t>
            </w:r>
            <w:r w:rsidR="005550F1">
              <w:rPr>
                <w:i/>
              </w:rPr>
              <w:t>3</w:t>
            </w:r>
            <w:r>
              <w:rPr>
                <w:i/>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20B51466" w:rsidR="008414ED" w:rsidRPr="00185DB9" w:rsidDel="00B72091" w:rsidRDefault="008414ED" w:rsidP="004C6D54">
            <w:pPr>
              <w:cnfStyle w:val="000000000000" w:firstRow="0" w:lastRow="0" w:firstColumn="0" w:lastColumn="0" w:oddVBand="0" w:evenVBand="0" w:oddHBand="0" w:evenHBand="0" w:firstRowFirstColumn="0" w:firstRowLastColumn="0" w:lastRowFirstColumn="0" w:lastRowLastColumn="0"/>
              <w:rPr>
                <w:i/>
              </w:rPr>
            </w:pPr>
            <w:r w:rsidRPr="00B20727">
              <w:rPr>
                <w:i/>
              </w:rPr>
              <w:t>No</w:t>
            </w:r>
            <w:r w:rsidR="00E23CB3">
              <w:rPr>
                <w:i/>
              </w:rPr>
              <w:t xml:space="preserve"> - OER</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lastRenderedPageBreak/>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28E3A0D0" w:rsidR="00AD5740" w:rsidRDefault="00CC1CE4" w:rsidP="009F1455">
            <w:pPr>
              <w:cnfStyle w:val="000000100000" w:firstRow="0" w:lastRow="0" w:firstColumn="0" w:lastColumn="0" w:oddVBand="0" w:evenVBand="0" w:oddHBand="1" w:evenHBand="0" w:firstRowFirstColumn="0" w:firstRowLastColumn="0" w:lastRowFirstColumn="0" w:lastRowLastColumn="0"/>
            </w:pPr>
            <w:r>
              <w:t>Math 2008 - Foundation of Numbers and Operation</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2327B751" w:rsidR="00AD5740" w:rsidRDefault="00CC1CE4" w:rsidP="009F1455">
            <w:pPr>
              <w:cnfStyle w:val="000000000000" w:firstRow="0" w:lastRow="0" w:firstColumn="0" w:lastColumn="0" w:oddVBand="0" w:evenVBand="0" w:oddHBand="0" w:evenHBand="0" w:firstRowFirstColumn="0" w:firstRowLastColumn="0" w:lastRowFirstColumn="0" w:lastRowLastColumn="0"/>
            </w:pPr>
            <w:r>
              <w:t>Shanah Grant, Ph.D.</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1B7EB759" w:rsidR="009F1455" w:rsidRDefault="00CC1CE4" w:rsidP="009F1455">
            <w:pPr>
              <w:cnfStyle w:val="000000100000" w:firstRow="0" w:lastRow="0" w:firstColumn="0" w:lastColumn="0" w:oddVBand="0" w:evenVBand="0" w:oddHBand="1" w:evenHBand="0" w:firstRowFirstColumn="0" w:firstRowLastColumn="0" w:lastRowFirstColumn="0" w:lastRowLastColumn="0"/>
            </w:pPr>
            <w:r>
              <w:t>40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4D162219" w:rsidR="009F1455" w:rsidRDefault="00CC1CE4"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DDA8781" w:rsidR="009F1455" w:rsidRDefault="00CC1CE4" w:rsidP="009F1455">
            <w:pPr>
              <w:cnfStyle w:val="000000100000" w:firstRow="0" w:lastRow="0" w:firstColumn="0" w:lastColumn="0" w:oddVBand="0" w:evenVBand="0" w:oddHBand="1" w:evenHBand="0" w:firstRowFirstColumn="0" w:firstRowLastColumn="0" w:lastRowFirstColumn="0" w:lastRowLastColumn="0"/>
            </w:pPr>
            <w:r>
              <w:t>1</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438D678F" w:rsidR="009F1455" w:rsidRDefault="00CC1CE4"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22CAB0FE" w:rsidR="009F1455" w:rsidRDefault="00CC1CE4" w:rsidP="009F1455">
            <w:pPr>
              <w:cnfStyle w:val="000000100000" w:firstRow="0" w:lastRow="0" w:firstColumn="0" w:lastColumn="0" w:oddVBand="0" w:evenVBand="0" w:oddHBand="1" w:evenHBand="0" w:firstRowFirstColumn="0" w:firstRowLastColumn="0" w:lastRowFirstColumn="0" w:lastRowLastColumn="0"/>
            </w:pPr>
            <w:r>
              <w:t>1</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13E29A45" w:rsidR="009F1455" w:rsidRDefault="00CC1CE4" w:rsidP="009F1455">
            <w:pPr>
              <w:cnfStyle w:val="000000000000" w:firstRow="0" w:lastRow="0" w:firstColumn="0" w:lastColumn="0" w:oddVBand="0" w:evenVBand="0" w:oddHBand="0" w:evenHBand="0" w:firstRowFirstColumn="0" w:firstRowLastColumn="0" w:lastRowFirstColumn="0" w:lastRowLastColumn="0"/>
            </w:pPr>
            <w:r>
              <w:t>40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8942A93" w14:textId="77777777" w:rsidR="00CC1CE4" w:rsidRDefault="00CC1CE4" w:rsidP="00CC1C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Sybilla Beckmann (4</w:t>
            </w:r>
            <w:r>
              <w:rPr>
                <w:rFonts w:eastAsiaTheme="minorHAnsi"/>
                <w:sz w:val="15"/>
                <w:szCs w:val="15"/>
              </w:rPr>
              <w:t xml:space="preserve">th </w:t>
            </w:r>
            <w:r>
              <w:rPr>
                <w:rFonts w:eastAsiaTheme="minorHAnsi"/>
              </w:rPr>
              <w:t>Edition). Mathematics for Elementary Teachers:</w:t>
            </w:r>
          </w:p>
          <w:p w14:paraId="5AF2DF8E" w14:textId="45E23B7E" w:rsidR="009F1455" w:rsidRDefault="00CC1CE4" w:rsidP="00CC1CE4">
            <w:pPr>
              <w:cnfStyle w:val="000000100000" w:firstRow="0" w:lastRow="0" w:firstColumn="0" w:lastColumn="0" w:oddVBand="0" w:evenVBand="0" w:oddHBand="1" w:evenHBand="0" w:firstRowFirstColumn="0" w:firstRowLastColumn="0" w:lastRowFirstColumn="0" w:lastRowLastColumn="0"/>
            </w:pPr>
            <w:r>
              <w:rPr>
                <w:rFonts w:eastAsiaTheme="minorHAnsi"/>
              </w:rPr>
              <w:t>with Activities. Pearson. (ISBN: 978-0-321-82572-8). This book does not have any additional materials. The cost of the book is $193.31 before tax and $213.08 with tax.</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76841A6F" w:rsidR="009F1455" w:rsidRDefault="00CC1CE4" w:rsidP="009F1455">
            <w:pPr>
              <w:cnfStyle w:val="000000000000" w:firstRow="0" w:lastRow="0" w:firstColumn="0" w:lastColumn="0" w:oddVBand="0" w:evenVBand="0" w:oddHBand="0" w:evenHBand="0" w:firstRowFirstColumn="0" w:firstRowLastColumn="0" w:lastRowFirstColumn="0" w:lastRowLastColumn="0"/>
            </w:pPr>
            <w:r>
              <w:t>$213.08</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4E59FBA0" w:rsidR="009F1455" w:rsidRPr="00E23CB3" w:rsidRDefault="00E23CB3" w:rsidP="009F1455">
            <w:pPr>
              <w:cnfStyle w:val="000000100000" w:firstRow="0" w:lastRow="0" w:firstColumn="0" w:lastColumn="0" w:oddVBand="0" w:evenVBand="0" w:oddHBand="1" w:evenHBand="0" w:firstRowFirstColumn="0" w:firstRowLastColumn="0" w:lastRowFirstColumn="0" w:lastRowLastColumn="0"/>
              <w:rPr>
                <w:highlight w:val="cyan"/>
              </w:rPr>
            </w:pPr>
            <w:r w:rsidRPr="00E23CB3">
              <w:t>$0.00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174D83AD" w:rsidR="009F1455" w:rsidRDefault="00CC1CE4" w:rsidP="009F1455">
            <w:pPr>
              <w:cnfStyle w:val="000000000000" w:firstRow="0" w:lastRow="0" w:firstColumn="0" w:lastColumn="0" w:oddVBand="0" w:evenVBand="0" w:oddHBand="0" w:evenHBand="0" w:firstRowFirstColumn="0" w:firstRowLastColumn="0" w:lastRowFirstColumn="0" w:lastRowLastColumn="0"/>
            </w:pPr>
            <w:r>
              <w:t>$</w:t>
            </w:r>
            <w:r w:rsidR="00E23CB3">
              <w:t>213.08</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0ED463D1" w:rsidR="009F1455" w:rsidRDefault="00CC1CE4" w:rsidP="009F1455">
            <w:pPr>
              <w:cnfStyle w:val="000000100000" w:firstRow="0" w:lastRow="0" w:firstColumn="0" w:lastColumn="0" w:oddVBand="0" w:evenVBand="0" w:oddHBand="1" w:evenHBand="0" w:firstRowFirstColumn="0" w:firstRowLastColumn="0" w:lastRowFirstColumn="0" w:lastRowLastColumn="0"/>
            </w:pPr>
            <w:r>
              <w:t>$</w:t>
            </w:r>
            <w:r w:rsidR="00E23CB3">
              <w:t>8,523.20</w:t>
            </w:r>
          </w:p>
        </w:tc>
      </w:tr>
    </w:tbl>
    <w:p w14:paraId="61889259" w14:textId="77777777" w:rsidR="00B77565" w:rsidRDefault="00B77565"/>
    <w:p w14:paraId="7D572EA9" w14:textId="77777777" w:rsidR="00E37804" w:rsidRDefault="00E37804" w:rsidP="00185DB9">
      <w:pPr>
        <w:pStyle w:val="Heading1"/>
      </w:pPr>
    </w:p>
    <w:p w14:paraId="2DDDD639" w14:textId="0B66AF13" w:rsidR="00566366" w:rsidRDefault="00566366" w:rsidP="00185DB9">
      <w:pPr>
        <w:pStyle w:val="Heading1"/>
      </w:pPr>
      <w:r>
        <w:t>Narrative Section</w:t>
      </w:r>
    </w:p>
    <w:p w14:paraId="32701163" w14:textId="77777777" w:rsidR="00566366" w:rsidRDefault="00566366" w:rsidP="00566366">
      <w:pPr>
        <w:pStyle w:val="Heading2"/>
      </w:pPr>
      <w:r>
        <w:t>1. Project Goals</w:t>
      </w:r>
    </w:p>
    <w:p w14:paraId="150F9589" w14:textId="202FDD7C" w:rsidR="00CC1CE4" w:rsidRPr="00E37804" w:rsidRDefault="00CC1CE4" w:rsidP="00566366">
      <w:r w:rsidRPr="00E37804">
        <w:t xml:space="preserve">The goal of this project is to provide the student who take Math 2008 – (Foundation of Numbers and Operation) can access effect and excellent course materials at little to no cost. This will be provided electronically. Students will be able to print the material at their leisure. We would like </w:t>
      </w:r>
      <w:r w:rsidRPr="00E37804">
        <w:lastRenderedPageBreak/>
        <w:t>to explore the impact of little to no cost resources on the performance of students in successfully completing the course. Qualitative data from the students in this study (students who paid little to no cost) and the students prior to this study (students who paid full price) will be collected in the form of grades and surveys. We predict that the students who have little to no cost for the course will be impacted positively. This will lead to retention. This project has will greatly impact the Early Childhood Education majors in the College of Education at Fort Valley State University as they prepare their teaching degree.</w:t>
      </w:r>
    </w:p>
    <w:p w14:paraId="7D513BE2" w14:textId="6D5D011A" w:rsidR="00CC1CE4" w:rsidRPr="00CC1CE4" w:rsidRDefault="00566366" w:rsidP="00CC1CE4">
      <w:pPr>
        <w:pStyle w:val="Heading2"/>
      </w:pPr>
      <w:r>
        <w:t>2. Statement of Transformation</w:t>
      </w:r>
    </w:p>
    <w:p w14:paraId="6D60BA9D" w14:textId="1C562829" w:rsidR="00CC1CE4" w:rsidRPr="00CC1CE4" w:rsidRDefault="00CC1CE4" w:rsidP="00CC1CE4">
      <w:r w:rsidRPr="00CC1CE4">
        <w:t xml:space="preserve">Students complained of the difficulties in obtaining the course materials thus leading them to be unprepared for class. In addition, the cost of textbooks </w:t>
      </w:r>
      <w:r w:rsidR="00C877E3">
        <w:t>is</w:t>
      </w:r>
      <w:r w:rsidRPr="00CC1CE4">
        <w:t xml:space="preserve"> steadily increasing </w:t>
      </w:r>
      <w:sdt>
        <w:sdtPr>
          <w:id w:val="-1712799767"/>
          <w:citation/>
        </w:sdtPr>
        <w:sdtContent>
          <w:r w:rsidRPr="00CC1CE4">
            <w:fldChar w:fldCharType="begin"/>
          </w:r>
          <w:r w:rsidRPr="00CC1CE4">
            <w:instrText xml:space="preserve"> CITATION Jag19 \l 1033 </w:instrText>
          </w:r>
          <w:r w:rsidRPr="00CC1CE4">
            <w:fldChar w:fldCharType="separate"/>
          </w:r>
          <w:r w:rsidRPr="00CC1CE4">
            <w:rPr>
              <w:noProof/>
            </w:rPr>
            <w:t>(Jaggars &amp; Marcos, 2019)</w:t>
          </w:r>
          <w:r w:rsidRPr="00CC1CE4">
            <w:fldChar w:fldCharType="end"/>
          </w:r>
        </w:sdtContent>
      </w:sdt>
      <w:r w:rsidRPr="00CC1CE4">
        <w:t xml:space="preserve">. This </w:t>
      </w:r>
      <w:r w:rsidRPr="00CC1CE4">
        <w:rPr>
          <w:b/>
          <w:bCs/>
        </w:rPr>
        <w:t xml:space="preserve">transformation </w:t>
      </w:r>
      <w:r w:rsidRPr="00CC1CE4">
        <w:t xml:space="preserve">from a high-cost textbook to little to no cost course materials will be done over the course of Summer 2022 into Fall 2022. The team will work to find little to no cost materials to be loaded into the university’s D2L Bright Space for ease of access to students and future instructors. </w:t>
      </w:r>
    </w:p>
    <w:p w14:paraId="44BB716D" w14:textId="3E147D84" w:rsidR="00CC1CE4" w:rsidRPr="00CC1CE4" w:rsidRDefault="00CC1CE4" w:rsidP="00CC1CE4">
      <w:r w:rsidRPr="00CC1CE4">
        <w:t xml:space="preserve">The students of the Foundation of Numbers and Operations course, also known as the </w:t>
      </w:r>
      <w:r w:rsidRPr="00CC1CE4">
        <w:rPr>
          <w:b/>
          <w:bCs/>
        </w:rPr>
        <w:t>stakeholders</w:t>
      </w:r>
      <w:r w:rsidRPr="00CC1CE4">
        <w:t>, are a part of the 88% student population at FVSU who rely on financial aid. Many of whom do not receive a book voucher to cover resources for classes. There will be an immediate impact on the students from this transformation. The students of this course are usually late completing assignments at the beginning of the semester because they are waiting to get a “refund” from the loans they obtained to pay for their tuition. After falling behind the first few weeks of school, students are often discouraged and hence result to dropping the course.</w:t>
      </w:r>
    </w:p>
    <w:p w14:paraId="331FFA29" w14:textId="4FFCFD58" w:rsidR="00CC1CE4" w:rsidRPr="00C877E3" w:rsidRDefault="00CC1CE4" w:rsidP="00CC1CE4">
      <w:pPr>
        <w:rPr>
          <w:color w:val="000000" w:themeColor="text1"/>
        </w:rPr>
      </w:pPr>
      <w:r w:rsidRPr="00CC1CE4">
        <w:t xml:space="preserve">With this transformation, students will have access to the course material at the beginning of the </w:t>
      </w:r>
      <w:r w:rsidRPr="00C877E3">
        <w:t xml:space="preserve">semester, allowing them a fair change of completing all assignments from the beginning of the semester on time. Additionally, this transformation will allow instructors to used online quizzes and the adaptive learning platform D2L easing the pressure of the stakeholders finding the funds to cover </w:t>
      </w:r>
      <w:r w:rsidRPr="00C877E3">
        <w:rPr>
          <w:color w:val="000000" w:themeColor="text1"/>
        </w:rPr>
        <w:t>the materials of the course and.</w:t>
      </w:r>
    </w:p>
    <w:p w14:paraId="24A2F99D" w14:textId="34D1D1F6" w:rsidR="00CC1CE4" w:rsidRPr="00C877E3" w:rsidRDefault="00C877E3" w:rsidP="00C877E3">
      <w:r w:rsidRPr="00C877E3">
        <w:rPr>
          <w:rFonts w:eastAsiaTheme="minorHAnsi"/>
          <w:color w:val="000000" w:themeColor="text1"/>
        </w:rPr>
        <w:t xml:space="preserve">The course being transformed is foundational course for students who plan to take the </w:t>
      </w:r>
      <w:r w:rsidRPr="00C877E3">
        <w:rPr>
          <w:color w:val="000000" w:themeColor="text1"/>
          <w:shd w:val="clear" w:color="auto" w:fill="FFFFFF"/>
        </w:rPr>
        <w:t>Georgia Assessments for the Certification of Educators</w:t>
      </w:r>
      <w:r w:rsidRPr="00C877E3">
        <w:rPr>
          <w:color w:val="000000" w:themeColor="text1"/>
        </w:rPr>
        <w:t xml:space="preserve"> (</w:t>
      </w:r>
      <w:r w:rsidRPr="00C877E3">
        <w:rPr>
          <w:rFonts w:eastAsiaTheme="minorHAnsi"/>
          <w:color w:val="000000" w:themeColor="text1"/>
        </w:rPr>
        <w:t>GACE) and thus b</w:t>
      </w:r>
      <w:r w:rsidR="00CC1CE4" w:rsidRPr="00C877E3">
        <w:rPr>
          <w:rFonts w:eastAsiaTheme="minorHAnsi"/>
          <w:color w:val="000000" w:themeColor="text1"/>
        </w:rPr>
        <w:t xml:space="preserve">oth the College of Education and the College of Arts and Sciences would benefit from this transformative grant, thus resulting in a positive impact. Overall, the university would benefit since this transformation </w:t>
      </w:r>
      <w:r w:rsidR="00CC1CE4" w:rsidRPr="00C877E3">
        <w:rPr>
          <w:rFonts w:eastAsiaTheme="minorHAnsi"/>
        </w:rPr>
        <w:t>would lead to retention of students in the course and students will have access to the course</w:t>
      </w:r>
      <w:r w:rsidR="00CC1CE4" w:rsidRPr="00CC1CE4">
        <w:rPr>
          <w:rFonts w:eastAsiaTheme="minorHAnsi"/>
        </w:rPr>
        <w:t xml:space="preserve"> materials for little to no cost at the beginning of the course. In terms of faculty, this transformation will assist the faculty who will teach this course and ease the burden of having to push back deadlines and getting back up with grading assignment in efforts of meeting the needs of the students. Other faculty members will also have access to the course materials promoting relationship and interdisciplinary studies.</w:t>
      </w:r>
      <w:r>
        <w:rPr>
          <w:rFonts w:eastAsiaTheme="minorHAnsi"/>
        </w:rPr>
        <w:t xml:space="preserve"> </w:t>
      </w:r>
    </w:p>
    <w:p w14:paraId="359BBBA8" w14:textId="77777777" w:rsidR="00CC1CE4" w:rsidRDefault="00CC1CE4" w:rsidP="00CC1CE4">
      <w:pPr>
        <w:autoSpaceDE w:val="0"/>
        <w:autoSpaceDN w:val="0"/>
        <w:adjustRightInd w:val="0"/>
        <w:rPr>
          <w:rFonts w:eastAsiaTheme="minorHAnsi"/>
        </w:rPr>
      </w:pPr>
    </w:p>
    <w:p w14:paraId="1E04448D" w14:textId="304F64B8" w:rsidR="00566366" w:rsidRDefault="00566366" w:rsidP="00566366">
      <w:pPr>
        <w:pStyle w:val="Heading2"/>
        <w:rPr>
          <w:i/>
        </w:rPr>
      </w:pPr>
      <w:r>
        <w:t>3. Action Plan</w:t>
      </w:r>
      <w:r w:rsidRPr="00566366">
        <w:rPr>
          <w:i/>
        </w:rPr>
        <w:t xml:space="preserve"> </w:t>
      </w:r>
    </w:p>
    <w:p w14:paraId="625284AA" w14:textId="6055EB99" w:rsidR="00C877E3" w:rsidRPr="00E37804" w:rsidRDefault="00C877E3" w:rsidP="00C877E3">
      <w:r w:rsidRPr="00E37804">
        <w:t xml:space="preserve">During the spring 2022 semester, the team will collectively meet to determine a textbook for the course. Team will check </w:t>
      </w:r>
      <w:r w:rsidR="00E23CB3">
        <w:t>all online resources</w:t>
      </w:r>
      <w:r w:rsidRPr="00E37804">
        <w:t xml:space="preserve"> and other available resources in order to find the cheapest possible route for the students. The textbook and course materials will be selected based on cost and quality of course materials. The workload of the chapters of the book selected will be split into three parts and assigned to each team member. Each member of the team will be responsible for PowerPoints, videos and assignments for their assigned chapters and uploading each course content in D2L Bright Space.</w:t>
      </w:r>
    </w:p>
    <w:p w14:paraId="6882BB76" w14:textId="55E2FAB7" w:rsidR="00C877E3" w:rsidRDefault="00C877E3" w:rsidP="00C877E3">
      <w:r w:rsidRPr="00E37804">
        <w:lastRenderedPageBreak/>
        <w:t>During Summer 2022, the team will work to create all related content for the course and upload them respectively in D2L Bright Space. These contents include PowerPoints, videos, and notes as supplementary resources for the students. In addition, during Summer 2022, Dr. Grant will obtain Human Subjects Research (IRB) approval for the research survey questions to be completed by the students of Math 2008. All recourses will be available for use university wide.</w:t>
      </w:r>
    </w:p>
    <w:p w14:paraId="20A7B049" w14:textId="77777777" w:rsidR="0015458C" w:rsidRDefault="0015458C" w:rsidP="00C877E3"/>
    <w:p w14:paraId="790CBCE8" w14:textId="64F4FBEB" w:rsidR="0015458C" w:rsidRDefault="0015458C" w:rsidP="00C877E3">
      <w:pPr>
        <w:rPr>
          <w:b/>
          <w:bCs/>
        </w:rPr>
      </w:pPr>
      <w:r>
        <w:rPr>
          <w:b/>
          <w:bCs/>
        </w:rPr>
        <w:t xml:space="preserve">Clarification on Access to Open Materials: </w:t>
      </w:r>
    </w:p>
    <w:p w14:paraId="56FBBBC0" w14:textId="77777777" w:rsidR="0015458C" w:rsidRPr="0015458C" w:rsidRDefault="0015458C" w:rsidP="0015458C">
      <w:pPr>
        <w:rPr>
          <w:b/>
          <w:bCs/>
        </w:rPr>
      </w:pPr>
      <w:r w:rsidRPr="0015458C">
        <w:rPr>
          <w:b/>
          <w:bCs/>
        </w:rPr>
        <w:t>•</w:t>
      </w:r>
      <w:r w:rsidRPr="0015458C">
        <w:rPr>
          <w:b/>
          <w:bCs/>
        </w:rPr>
        <w:tab/>
        <w:t>We will provide links to the materials</w:t>
      </w:r>
    </w:p>
    <w:p w14:paraId="125EA91E" w14:textId="77777777" w:rsidR="0015458C" w:rsidRPr="0015458C" w:rsidRDefault="0015458C" w:rsidP="0015458C">
      <w:pPr>
        <w:rPr>
          <w:b/>
          <w:bCs/>
        </w:rPr>
      </w:pPr>
      <w:r w:rsidRPr="0015458C">
        <w:rPr>
          <w:b/>
          <w:bCs/>
        </w:rPr>
        <w:t>•</w:t>
      </w:r>
      <w:r w:rsidRPr="0015458C">
        <w:rPr>
          <w:b/>
          <w:bCs/>
        </w:rPr>
        <w:tab/>
        <w:t xml:space="preserve">We will provide all Word or PDF Documents related materials </w:t>
      </w:r>
    </w:p>
    <w:p w14:paraId="05939F77" w14:textId="660E5BAB" w:rsidR="0015458C" w:rsidRPr="0015458C" w:rsidRDefault="0015458C" w:rsidP="0015458C">
      <w:pPr>
        <w:rPr>
          <w:b/>
          <w:bCs/>
        </w:rPr>
      </w:pPr>
      <w:r w:rsidRPr="0015458C">
        <w:rPr>
          <w:b/>
          <w:bCs/>
        </w:rPr>
        <w:t>•</w:t>
      </w:r>
      <w:r w:rsidRPr="0015458C">
        <w:rPr>
          <w:b/>
          <w:bCs/>
        </w:rPr>
        <w:tab/>
        <w:t>We will provide link</w:t>
      </w:r>
      <w:r>
        <w:rPr>
          <w:b/>
          <w:bCs/>
        </w:rPr>
        <w:t>s</w:t>
      </w:r>
      <w:r w:rsidRPr="0015458C">
        <w:rPr>
          <w:b/>
          <w:bCs/>
        </w:rPr>
        <w:t xml:space="preserve"> for the textbooks being used</w:t>
      </w:r>
    </w:p>
    <w:p w14:paraId="38886D4C" w14:textId="77777777" w:rsidR="0015458C" w:rsidRPr="00E37804" w:rsidRDefault="0015458C" w:rsidP="00C877E3"/>
    <w:p w14:paraId="08166AE3" w14:textId="77777777" w:rsidR="00CA14A2" w:rsidRDefault="00CA14A2" w:rsidP="00CA14A2">
      <w:pPr>
        <w:pStyle w:val="Heading2"/>
      </w:pPr>
      <w:r>
        <w:t>4. Quantitative and Qualitative Measures</w:t>
      </w:r>
    </w:p>
    <w:p w14:paraId="7E8749AF" w14:textId="73A00E90" w:rsidR="00C877E3" w:rsidRPr="00C877E3" w:rsidRDefault="00C877E3" w:rsidP="00CA14A2">
      <w:pPr>
        <w:rPr>
          <w:iCs/>
        </w:rPr>
      </w:pPr>
      <w:r w:rsidRPr="00C877E3">
        <w:rPr>
          <w:iCs/>
        </w:rPr>
        <w:t>The quantitative measures include grade comparison. Students’ grades (past students of the course and upcoming students of the course) will be analyzed to determine the effect of the availability of the little to no cost materials and resources on their grades.  The qualitative measures include surveys and potential interviews with students. As a result, IRB approval will be needed. The surveys will be conducted at the beginning (pre-survey) and at the end (post-survey) of the course to help identify the quality of the resources. The potential questions of the surveys are:</w:t>
      </w:r>
    </w:p>
    <w:p w14:paraId="388A6DF8" w14:textId="65EF7137" w:rsidR="00C877E3" w:rsidRPr="00C877E3" w:rsidRDefault="00C877E3" w:rsidP="00C877E3">
      <w:pPr>
        <w:pStyle w:val="ListParagraph"/>
        <w:numPr>
          <w:ilvl w:val="0"/>
          <w:numId w:val="15"/>
        </w:numPr>
        <w:jc w:val="left"/>
        <w:rPr>
          <w:rFonts w:ascii="Times New Roman" w:hAnsi="Times New Roman" w:cs="Times New Roman"/>
          <w:iCs/>
        </w:rPr>
      </w:pPr>
      <w:r w:rsidRPr="00C877E3">
        <w:rPr>
          <w:rFonts w:ascii="Times New Roman" w:hAnsi="Times New Roman" w:cs="Times New Roman"/>
          <w:iCs/>
        </w:rPr>
        <w:t>Did the little to no cost course materials help you to learn better in the course?</w:t>
      </w:r>
    </w:p>
    <w:p w14:paraId="4DA395B3" w14:textId="6E5A99B2" w:rsidR="00C877E3" w:rsidRPr="00C877E3" w:rsidRDefault="00C877E3" w:rsidP="00C877E3">
      <w:pPr>
        <w:pStyle w:val="ListParagraph"/>
        <w:numPr>
          <w:ilvl w:val="0"/>
          <w:numId w:val="15"/>
        </w:numPr>
        <w:jc w:val="left"/>
        <w:rPr>
          <w:rFonts w:ascii="Times New Roman" w:hAnsi="Times New Roman" w:cs="Times New Roman"/>
          <w:iCs/>
        </w:rPr>
      </w:pPr>
      <w:r w:rsidRPr="00C877E3">
        <w:rPr>
          <w:rFonts w:ascii="Times New Roman" w:hAnsi="Times New Roman" w:cs="Times New Roman"/>
          <w:iCs/>
        </w:rPr>
        <w:t>Do you prefer the textbook in the online format or a traditional textbook?</w:t>
      </w:r>
    </w:p>
    <w:p w14:paraId="639C3129" w14:textId="0CD80FAE" w:rsidR="00C877E3" w:rsidRPr="00C877E3" w:rsidRDefault="00C877E3" w:rsidP="00C877E3">
      <w:pPr>
        <w:pStyle w:val="ListParagraph"/>
        <w:numPr>
          <w:ilvl w:val="0"/>
          <w:numId w:val="15"/>
        </w:numPr>
        <w:jc w:val="left"/>
        <w:rPr>
          <w:rFonts w:ascii="Times New Roman" w:hAnsi="Times New Roman" w:cs="Times New Roman"/>
          <w:iCs/>
        </w:rPr>
      </w:pPr>
      <w:r w:rsidRPr="00C877E3">
        <w:rPr>
          <w:rFonts w:ascii="Times New Roman" w:hAnsi="Times New Roman" w:cs="Times New Roman"/>
          <w:iCs/>
        </w:rPr>
        <w:t>How effective were the additional resources such as the videos, PowerPoints etc.?</w:t>
      </w:r>
    </w:p>
    <w:p w14:paraId="57DE47EC" w14:textId="138A8DD1" w:rsidR="00C877E3" w:rsidRDefault="00C877E3" w:rsidP="00C877E3">
      <w:pPr>
        <w:pStyle w:val="ListParagraph"/>
        <w:numPr>
          <w:ilvl w:val="0"/>
          <w:numId w:val="15"/>
        </w:numPr>
        <w:jc w:val="left"/>
        <w:rPr>
          <w:rFonts w:ascii="Times New Roman" w:hAnsi="Times New Roman" w:cs="Times New Roman"/>
          <w:iCs/>
        </w:rPr>
      </w:pPr>
      <w:r w:rsidRPr="00C877E3">
        <w:rPr>
          <w:rFonts w:ascii="Times New Roman" w:hAnsi="Times New Roman" w:cs="Times New Roman"/>
          <w:iCs/>
        </w:rPr>
        <w:t>Did you use the additional resources provided in D2L?</w:t>
      </w:r>
    </w:p>
    <w:p w14:paraId="456F4D16" w14:textId="5358899A" w:rsidR="00E37804" w:rsidRPr="00C877E3" w:rsidRDefault="00E37804" w:rsidP="00C877E3">
      <w:pPr>
        <w:pStyle w:val="ListParagraph"/>
        <w:numPr>
          <w:ilvl w:val="0"/>
          <w:numId w:val="15"/>
        </w:numPr>
        <w:jc w:val="left"/>
        <w:rPr>
          <w:rFonts w:ascii="Times New Roman" w:hAnsi="Times New Roman" w:cs="Times New Roman"/>
          <w:iCs/>
        </w:rPr>
      </w:pPr>
      <w:r>
        <w:rPr>
          <w:rFonts w:ascii="Times New Roman" w:hAnsi="Times New Roman" w:cs="Times New Roman"/>
          <w:iCs/>
        </w:rPr>
        <w:t>In your opinion, what additional resources may be added to help you learn better in this course?</w:t>
      </w:r>
    </w:p>
    <w:p w14:paraId="2737F644" w14:textId="19066673" w:rsidR="00524BE0" w:rsidRDefault="00524BE0" w:rsidP="00524BE0">
      <w:pPr>
        <w:pStyle w:val="Heading2"/>
      </w:pPr>
      <w:r>
        <w:t>5. Timeline</w:t>
      </w:r>
    </w:p>
    <w:tbl>
      <w:tblPr>
        <w:tblStyle w:val="GridTable1Light"/>
        <w:tblW w:w="0" w:type="auto"/>
        <w:tblLook w:val="04A0" w:firstRow="1" w:lastRow="0" w:firstColumn="1" w:lastColumn="0" w:noHBand="0" w:noVBand="1"/>
      </w:tblPr>
      <w:tblGrid>
        <w:gridCol w:w="3415"/>
        <w:gridCol w:w="5310"/>
      </w:tblGrid>
      <w:tr w:rsidR="00C95A07" w14:paraId="0325CF51" w14:textId="77777777" w:rsidTr="00C95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60BA35E" w14:textId="42B1A0FD" w:rsidR="00C95A07" w:rsidRDefault="00C95A07" w:rsidP="00C95A07">
            <w:r>
              <w:t>Timeframe</w:t>
            </w:r>
          </w:p>
        </w:tc>
        <w:tc>
          <w:tcPr>
            <w:tcW w:w="5310" w:type="dxa"/>
          </w:tcPr>
          <w:p w14:paraId="3787329A" w14:textId="41F04310" w:rsidR="00C95A07" w:rsidRDefault="00C95A07" w:rsidP="00C95A07">
            <w:pPr>
              <w:cnfStyle w:val="100000000000" w:firstRow="1" w:lastRow="0" w:firstColumn="0" w:lastColumn="0" w:oddVBand="0" w:evenVBand="0" w:oddHBand="0" w:evenHBand="0" w:firstRowFirstColumn="0" w:firstRowLastColumn="0" w:lastRowFirstColumn="0" w:lastRowLastColumn="0"/>
            </w:pPr>
            <w:r>
              <w:t>Task</w:t>
            </w:r>
          </w:p>
        </w:tc>
      </w:tr>
      <w:tr w:rsidR="00C95A07" w14:paraId="5EF3BD27" w14:textId="77777777" w:rsidTr="00C95A07">
        <w:tc>
          <w:tcPr>
            <w:cnfStyle w:val="001000000000" w:firstRow="0" w:lastRow="0" w:firstColumn="1" w:lastColumn="0" w:oddVBand="0" w:evenVBand="0" w:oddHBand="0" w:evenHBand="0" w:firstRowFirstColumn="0" w:firstRowLastColumn="0" w:lastRowFirstColumn="0" w:lastRowLastColumn="0"/>
            <w:tcW w:w="3415" w:type="dxa"/>
          </w:tcPr>
          <w:p w14:paraId="5C8F09C0" w14:textId="7418AF72" w:rsidR="00C95A07" w:rsidRDefault="00C95A07" w:rsidP="00C95A07">
            <w:r>
              <w:t>March 2022 – April 2022</w:t>
            </w:r>
          </w:p>
        </w:tc>
        <w:tc>
          <w:tcPr>
            <w:tcW w:w="5310" w:type="dxa"/>
          </w:tcPr>
          <w:p w14:paraId="7675F4D9" w14:textId="12981078" w:rsidR="00C95A07" w:rsidRDefault="00C95A07" w:rsidP="00C95A07">
            <w:pPr>
              <w:cnfStyle w:val="000000000000" w:firstRow="0" w:lastRow="0" w:firstColumn="0" w:lastColumn="0" w:oddVBand="0" w:evenVBand="0" w:oddHBand="0" w:evenHBand="0" w:firstRowFirstColumn="0" w:firstRowLastColumn="0" w:lastRowFirstColumn="0" w:lastRowLastColumn="0"/>
            </w:pPr>
            <w:r>
              <w:t>Book selection</w:t>
            </w:r>
            <w:r w:rsidR="00E23CB3">
              <w:t xml:space="preserve"> (Potential book: Mathematics for Elementary Teachers by Michelle Manes, OER)</w:t>
            </w:r>
          </w:p>
        </w:tc>
      </w:tr>
      <w:tr w:rsidR="00C95A07" w14:paraId="51FED786" w14:textId="77777777" w:rsidTr="00C95A07">
        <w:tc>
          <w:tcPr>
            <w:cnfStyle w:val="001000000000" w:firstRow="0" w:lastRow="0" w:firstColumn="1" w:lastColumn="0" w:oddVBand="0" w:evenVBand="0" w:oddHBand="0" w:evenHBand="0" w:firstRowFirstColumn="0" w:firstRowLastColumn="0" w:lastRowFirstColumn="0" w:lastRowLastColumn="0"/>
            <w:tcW w:w="3415" w:type="dxa"/>
          </w:tcPr>
          <w:p w14:paraId="47AC62B9" w14:textId="17D6B307" w:rsidR="00C95A07" w:rsidRDefault="00C95A07" w:rsidP="00C95A07">
            <w:r>
              <w:t>April 2022 – May 2022</w:t>
            </w:r>
          </w:p>
        </w:tc>
        <w:tc>
          <w:tcPr>
            <w:tcW w:w="5310" w:type="dxa"/>
          </w:tcPr>
          <w:p w14:paraId="01322F37" w14:textId="77777777" w:rsidR="00C95A07" w:rsidRDefault="00C95A07" w:rsidP="00C95A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Chapter Assignments</w:t>
            </w:r>
          </w:p>
          <w:p w14:paraId="3B544014" w14:textId="3F093444" w:rsidR="00C95A07" w:rsidRDefault="00C95A07" w:rsidP="00C95A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Syllabi Revision</w:t>
            </w:r>
          </w:p>
        </w:tc>
      </w:tr>
      <w:tr w:rsidR="00C95A07" w14:paraId="7177D5A6" w14:textId="77777777" w:rsidTr="00C95A07">
        <w:tc>
          <w:tcPr>
            <w:cnfStyle w:val="001000000000" w:firstRow="0" w:lastRow="0" w:firstColumn="1" w:lastColumn="0" w:oddVBand="0" w:evenVBand="0" w:oddHBand="0" w:evenHBand="0" w:firstRowFirstColumn="0" w:firstRowLastColumn="0" w:lastRowFirstColumn="0" w:lastRowLastColumn="0"/>
            <w:tcW w:w="3415" w:type="dxa"/>
          </w:tcPr>
          <w:p w14:paraId="389F1057" w14:textId="744EC9E6" w:rsidR="00C95A07" w:rsidRDefault="00C95A07" w:rsidP="00C95A07">
            <w:r>
              <w:t>June 2022 – July 2022</w:t>
            </w:r>
          </w:p>
        </w:tc>
        <w:tc>
          <w:tcPr>
            <w:tcW w:w="5310" w:type="dxa"/>
          </w:tcPr>
          <w:p w14:paraId="41C7E095" w14:textId="77777777" w:rsidR="00C95A07" w:rsidRDefault="00C95A07" w:rsidP="00C95A0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Chapter uploads</w:t>
            </w:r>
          </w:p>
          <w:p w14:paraId="49429938" w14:textId="04CF06CD" w:rsidR="00C95A07" w:rsidRDefault="00C95A07" w:rsidP="00C95A0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IRB application submitted</w:t>
            </w:r>
          </w:p>
        </w:tc>
      </w:tr>
      <w:tr w:rsidR="00C95A07" w14:paraId="2D8B4C1A" w14:textId="77777777" w:rsidTr="00C95A07">
        <w:tc>
          <w:tcPr>
            <w:cnfStyle w:val="001000000000" w:firstRow="0" w:lastRow="0" w:firstColumn="1" w:lastColumn="0" w:oddVBand="0" w:evenVBand="0" w:oddHBand="0" w:evenHBand="0" w:firstRowFirstColumn="0" w:firstRowLastColumn="0" w:lastRowFirstColumn="0" w:lastRowLastColumn="0"/>
            <w:tcW w:w="3415" w:type="dxa"/>
          </w:tcPr>
          <w:p w14:paraId="1D4C25DC" w14:textId="335C5412" w:rsidR="00C95A07" w:rsidRDefault="00C95A07" w:rsidP="00C95A07">
            <w:r>
              <w:t>August 2022 – December 2022</w:t>
            </w:r>
          </w:p>
        </w:tc>
        <w:tc>
          <w:tcPr>
            <w:tcW w:w="5310" w:type="dxa"/>
          </w:tcPr>
          <w:p w14:paraId="4472C224" w14:textId="77777777" w:rsidR="00C95A07" w:rsidRDefault="00C95A07" w:rsidP="00C95A07">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Implementation of materials in course</w:t>
            </w:r>
          </w:p>
          <w:p w14:paraId="0D5539C6" w14:textId="2A6C1034" w:rsidR="00C95A07" w:rsidRDefault="00C95A07" w:rsidP="00C95A07">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Pre and Post surveys given</w:t>
            </w:r>
          </w:p>
        </w:tc>
      </w:tr>
      <w:tr w:rsidR="00C95A07" w14:paraId="20F9EAC2" w14:textId="77777777" w:rsidTr="00C95A07">
        <w:tc>
          <w:tcPr>
            <w:cnfStyle w:val="001000000000" w:firstRow="0" w:lastRow="0" w:firstColumn="1" w:lastColumn="0" w:oddVBand="0" w:evenVBand="0" w:oddHBand="0" w:evenHBand="0" w:firstRowFirstColumn="0" w:firstRowLastColumn="0" w:lastRowFirstColumn="0" w:lastRowLastColumn="0"/>
            <w:tcW w:w="3415" w:type="dxa"/>
          </w:tcPr>
          <w:p w14:paraId="53F34913" w14:textId="1E956B65" w:rsidR="00C95A07" w:rsidRDefault="00C95A07" w:rsidP="00C95A07">
            <w:r>
              <w:t>December 2022</w:t>
            </w:r>
          </w:p>
        </w:tc>
        <w:tc>
          <w:tcPr>
            <w:tcW w:w="5310" w:type="dxa"/>
          </w:tcPr>
          <w:p w14:paraId="3747509E" w14:textId="0311CC35" w:rsidR="00C95A07" w:rsidRDefault="00C95A07" w:rsidP="00C95A07">
            <w:pPr>
              <w:cnfStyle w:val="000000000000" w:firstRow="0" w:lastRow="0" w:firstColumn="0" w:lastColumn="0" w:oddVBand="0" w:evenVBand="0" w:oddHBand="0" w:evenHBand="0" w:firstRowFirstColumn="0" w:firstRowLastColumn="0" w:lastRowFirstColumn="0" w:lastRowLastColumn="0"/>
            </w:pPr>
            <w:r>
              <w:t>Submission of final report</w:t>
            </w:r>
          </w:p>
        </w:tc>
      </w:tr>
    </w:tbl>
    <w:p w14:paraId="4081499C" w14:textId="77777777" w:rsidR="00E37804" w:rsidRDefault="00E37804" w:rsidP="00524BE0">
      <w:pPr>
        <w:pStyle w:val="Heading2"/>
      </w:pPr>
    </w:p>
    <w:p w14:paraId="0322F2D4" w14:textId="4C38F7A5" w:rsidR="00566366" w:rsidRDefault="00524BE0" w:rsidP="00524BE0">
      <w:pPr>
        <w:pStyle w:val="Heading2"/>
        <w:rPr>
          <w:i/>
        </w:rPr>
      </w:pPr>
      <w:r>
        <w:t>6. Budget</w:t>
      </w:r>
      <w:r w:rsidRPr="00524BE0">
        <w:rPr>
          <w:i/>
        </w:rPr>
        <w:t xml:space="preserve"> </w:t>
      </w:r>
    </w:p>
    <w:tbl>
      <w:tblPr>
        <w:tblStyle w:val="GridTable1Light"/>
        <w:tblW w:w="0" w:type="auto"/>
        <w:tblLook w:val="04A0" w:firstRow="1" w:lastRow="0" w:firstColumn="1" w:lastColumn="0" w:noHBand="0" w:noVBand="1"/>
      </w:tblPr>
      <w:tblGrid>
        <w:gridCol w:w="2418"/>
        <w:gridCol w:w="2453"/>
        <w:gridCol w:w="2161"/>
        <w:gridCol w:w="2318"/>
      </w:tblGrid>
      <w:tr w:rsidR="00C95A07" w14:paraId="26DEF67B" w14:textId="27A6A66E" w:rsidTr="00C95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2213CA91" w14:textId="08145821" w:rsidR="00C95A07" w:rsidRPr="00C95A07" w:rsidRDefault="00C95A07" w:rsidP="00524BE0">
            <w:r w:rsidRPr="00C95A07">
              <w:t>Item</w:t>
            </w:r>
          </w:p>
        </w:tc>
        <w:tc>
          <w:tcPr>
            <w:tcW w:w="2453" w:type="dxa"/>
          </w:tcPr>
          <w:p w14:paraId="6C4ED219" w14:textId="3C917064" w:rsidR="00C95A07" w:rsidRPr="00C95A07" w:rsidRDefault="00C95A07" w:rsidP="00524BE0">
            <w:pPr>
              <w:cnfStyle w:val="100000000000" w:firstRow="1" w:lastRow="0" w:firstColumn="0" w:lastColumn="0" w:oddVBand="0" w:evenVBand="0" w:oddHBand="0" w:evenHBand="0" w:firstRowFirstColumn="0" w:firstRowLastColumn="0" w:lastRowFirstColumn="0" w:lastRowLastColumn="0"/>
            </w:pPr>
            <w:r w:rsidRPr="00C95A07">
              <w:t>Unit</w:t>
            </w:r>
          </w:p>
        </w:tc>
        <w:tc>
          <w:tcPr>
            <w:tcW w:w="2161" w:type="dxa"/>
          </w:tcPr>
          <w:p w14:paraId="3512CAAC" w14:textId="4F3B28AB" w:rsidR="00C95A07" w:rsidRPr="00C95A07" w:rsidRDefault="00C95A07" w:rsidP="00524BE0">
            <w:pPr>
              <w:cnfStyle w:val="100000000000" w:firstRow="1" w:lastRow="0" w:firstColumn="0" w:lastColumn="0" w:oddVBand="0" w:evenVBand="0" w:oddHBand="0" w:evenHBand="0" w:firstRowFirstColumn="0" w:firstRowLastColumn="0" w:lastRowFirstColumn="0" w:lastRowLastColumn="0"/>
            </w:pPr>
            <w:r w:rsidRPr="00C95A07">
              <w:t>Quantity</w:t>
            </w:r>
          </w:p>
        </w:tc>
        <w:tc>
          <w:tcPr>
            <w:tcW w:w="2318" w:type="dxa"/>
          </w:tcPr>
          <w:p w14:paraId="3F4B908B" w14:textId="1A366D7B" w:rsidR="00C95A07" w:rsidRPr="00C95A07" w:rsidRDefault="00C95A07" w:rsidP="00524BE0">
            <w:pPr>
              <w:cnfStyle w:val="100000000000" w:firstRow="1" w:lastRow="0" w:firstColumn="0" w:lastColumn="0" w:oddVBand="0" w:evenVBand="0" w:oddHBand="0" w:evenHBand="0" w:firstRowFirstColumn="0" w:firstRowLastColumn="0" w:lastRowFirstColumn="0" w:lastRowLastColumn="0"/>
            </w:pPr>
            <w:r w:rsidRPr="00C95A07">
              <w:t>Total</w:t>
            </w:r>
          </w:p>
        </w:tc>
      </w:tr>
      <w:tr w:rsidR="00C95A07" w14:paraId="2F21CF22" w14:textId="50F50261" w:rsidTr="00C95A07">
        <w:tc>
          <w:tcPr>
            <w:cnfStyle w:val="001000000000" w:firstRow="0" w:lastRow="0" w:firstColumn="1" w:lastColumn="0" w:oddVBand="0" w:evenVBand="0" w:oddHBand="0" w:evenHBand="0" w:firstRowFirstColumn="0" w:firstRowLastColumn="0" w:lastRowFirstColumn="0" w:lastRowLastColumn="0"/>
            <w:tcW w:w="2418" w:type="dxa"/>
          </w:tcPr>
          <w:p w14:paraId="52A287A7" w14:textId="47E734B6" w:rsidR="00C95A07" w:rsidRPr="00C95A07" w:rsidRDefault="00C95A07" w:rsidP="00524BE0">
            <w:r w:rsidRPr="00C95A07">
              <w:t>Team member salary</w:t>
            </w:r>
          </w:p>
        </w:tc>
        <w:tc>
          <w:tcPr>
            <w:tcW w:w="2453" w:type="dxa"/>
          </w:tcPr>
          <w:p w14:paraId="403AE9A2" w14:textId="54FF030B"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w:t>
            </w:r>
            <w:r w:rsidR="00B2685B">
              <w:t>4300</w:t>
            </w:r>
          </w:p>
        </w:tc>
        <w:tc>
          <w:tcPr>
            <w:tcW w:w="2161" w:type="dxa"/>
          </w:tcPr>
          <w:p w14:paraId="713D646E" w14:textId="67EBF634"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(3)</w:t>
            </w:r>
          </w:p>
        </w:tc>
        <w:tc>
          <w:tcPr>
            <w:tcW w:w="2318" w:type="dxa"/>
          </w:tcPr>
          <w:p w14:paraId="626933EE" w14:textId="7FE47562"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$1</w:t>
            </w:r>
            <w:r w:rsidR="00B2685B">
              <w:t>2,900</w:t>
            </w:r>
          </w:p>
        </w:tc>
      </w:tr>
      <w:tr w:rsidR="00C95A07" w14:paraId="00BAD99C" w14:textId="78FA127D" w:rsidTr="00C95A07">
        <w:tc>
          <w:tcPr>
            <w:cnfStyle w:val="001000000000" w:firstRow="0" w:lastRow="0" w:firstColumn="1" w:lastColumn="0" w:oddVBand="0" w:evenVBand="0" w:oddHBand="0" w:evenHBand="0" w:firstRowFirstColumn="0" w:firstRowLastColumn="0" w:lastRowFirstColumn="0" w:lastRowLastColumn="0"/>
            <w:tcW w:w="2418" w:type="dxa"/>
          </w:tcPr>
          <w:p w14:paraId="3F1418AE" w14:textId="68A2908B" w:rsidR="00C95A07" w:rsidRPr="00C95A07" w:rsidRDefault="00C95A07" w:rsidP="00524BE0">
            <w:r w:rsidRPr="00C95A07">
              <w:lastRenderedPageBreak/>
              <w:t>Supplies</w:t>
            </w:r>
            <w:r w:rsidR="00E23CB3">
              <w:t xml:space="preserve"> (student supplies such as early childhood manipulatives)</w:t>
            </w:r>
          </w:p>
        </w:tc>
        <w:tc>
          <w:tcPr>
            <w:tcW w:w="2453" w:type="dxa"/>
          </w:tcPr>
          <w:p w14:paraId="01039013" w14:textId="15B1F1A9"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w:t>
            </w:r>
            <w:r w:rsidR="00E23CB3">
              <w:t>2</w:t>
            </w:r>
            <w:r w:rsidRPr="00C95A07">
              <w:t>,000</w:t>
            </w:r>
          </w:p>
        </w:tc>
        <w:tc>
          <w:tcPr>
            <w:tcW w:w="2161" w:type="dxa"/>
          </w:tcPr>
          <w:p w14:paraId="2B9ABFA1" w14:textId="5C8A4866"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(1)</w:t>
            </w:r>
          </w:p>
        </w:tc>
        <w:tc>
          <w:tcPr>
            <w:tcW w:w="2318" w:type="dxa"/>
          </w:tcPr>
          <w:p w14:paraId="2CA44E3B" w14:textId="57AA53F6"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w:t>
            </w:r>
            <w:r w:rsidR="00E23CB3">
              <w:t>2</w:t>
            </w:r>
            <w:r w:rsidRPr="00C95A07">
              <w:t>,000</w:t>
            </w:r>
          </w:p>
        </w:tc>
      </w:tr>
      <w:tr w:rsidR="00B2685B" w14:paraId="38B83272" w14:textId="77777777" w:rsidTr="00C95A07">
        <w:tc>
          <w:tcPr>
            <w:cnfStyle w:val="001000000000" w:firstRow="0" w:lastRow="0" w:firstColumn="1" w:lastColumn="0" w:oddVBand="0" w:evenVBand="0" w:oddHBand="0" w:evenHBand="0" w:firstRowFirstColumn="0" w:firstRowLastColumn="0" w:lastRowFirstColumn="0" w:lastRowLastColumn="0"/>
            <w:tcW w:w="2418" w:type="dxa"/>
          </w:tcPr>
          <w:p w14:paraId="11C5FFD4" w14:textId="67FCB124" w:rsidR="00B2685B" w:rsidRPr="00B2685B" w:rsidRDefault="00B2685B" w:rsidP="00B2685B">
            <w:pPr>
              <w:rPr>
                <w:rFonts w:ascii="Arial" w:hAnsi="Arial" w:cs="Arial"/>
                <w:b w:val="0"/>
                <w:bCs w:val="0"/>
                <w:sz w:val="18"/>
                <w:szCs w:val="18"/>
              </w:rPr>
            </w:pPr>
            <w:r>
              <w:rPr>
                <w:rFonts w:ascii="Arial" w:hAnsi="Arial" w:cs="Arial"/>
                <w:b w:val="0"/>
                <w:bCs w:val="0"/>
                <w:sz w:val="18"/>
                <w:szCs w:val="18"/>
              </w:rPr>
              <w:t>Senior Fringe Benefits</w:t>
            </w:r>
          </w:p>
        </w:tc>
        <w:tc>
          <w:tcPr>
            <w:tcW w:w="2453" w:type="dxa"/>
          </w:tcPr>
          <w:p w14:paraId="73F41A97" w14:textId="0FCA14E4" w:rsidR="00B2685B" w:rsidRPr="00C95A07" w:rsidRDefault="00B2685B" w:rsidP="00524BE0">
            <w:pPr>
              <w:cnfStyle w:val="000000000000" w:firstRow="0" w:lastRow="0" w:firstColumn="0" w:lastColumn="0" w:oddVBand="0" w:evenVBand="0" w:oddHBand="0" w:evenHBand="0" w:firstRowFirstColumn="0" w:firstRowLastColumn="0" w:lastRowFirstColumn="0" w:lastRowLastColumn="0"/>
            </w:pPr>
            <w:r>
              <w:t>$688</w:t>
            </w:r>
          </w:p>
        </w:tc>
        <w:tc>
          <w:tcPr>
            <w:tcW w:w="2161" w:type="dxa"/>
          </w:tcPr>
          <w:p w14:paraId="76AD03FF" w14:textId="0BD6F2BA" w:rsidR="00B2685B" w:rsidRPr="00C95A07" w:rsidRDefault="00B2685B" w:rsidP="00524BE0">
            <w:pPr>
              <w:cnfStyle w:val="000000000000" w:firstRow="0" w:lastRow="0" w:firstColumn="0" w:lastColumn="0" w:oddVBand="0" w:evenVBand="0" w:oddHBand="0" w:evenHBand="0" w:firstRowFirstColumn="0" w:firstRowLastColumn="0" w:lastRowFirstColumn="0" w:lastRowLastColumn="0"/>
            </w:pPr>
            <w:r>
              <w:t>(3)</w:t>
            </w:r>
          </w:p>
        </w:tc>
        <w:tc>
          <w:tcPr>
            <w:tcW w:w="2318" w:type="dxa"/>
          </w:tcPr>
          <w:p w14:paraId="667F3243" w14:textId="1F8D1518" w:rsidR="00B2685B" w:rsidRPr="00C95A07" w:rsidRDefault="00B2685B" w:rsidP="00524BE0">
            <w:pPr>
              <w:cnfStyle w:val="000000000000" w:firstRow="0" w:lastRow="0" w:firstColumn="0" w:lastColumn="0" w:oddVBand="0" w:evenVBand="0" w:oddHBand="0" w:evenHBand="0" w:firstRowFirstColumn="0" w:firstRowLastColumn="0" w:lastRowFirstColumn="0" w:lastRowLastColumn="0"/>
            </w:pPr>
            <w:r>
              <w:t>$2,064</w:t>
            </w:r>
          </w:p>
        </w:tc>
      </w:tr>
      <w:tr w:rsidR="00C95A07" w14:paraId="0DA3DF24" w14:textId="3659FAFC" w:rsidTr="00C95A07">
        <w:tc>
          <w:tcPr>
            <w:cnfStyle w:val="001000000000" w:firstRow="0" w:lastRow="0" w:firstColumn="1" w:lastColumn="0" w:oddVBand="0" w:evenVBand="0" w:oddHBand="0" w:evenHBand="0" w:firstRowFirstColumn="0" w:firstRowLastColumn="0" w:lastRowFirstColumn="0" w:lastRowLastColumn="0"/>
            <w:tcW w:w="2418" w:type="dxa"/>
          </w:tcPr>
          <w:p w14:paraId="1B3AEBB3" w14:textId="77777777" w:rsidR="00C95A07" w:rsidRPr="00C95A07" w:rsidRDefault="00C95A07" w:rsidP="00524BE0"/>
        </w:tc>
        <w:tc>
          <w:tcPr>
            <w:tcW w:w="2453" w:type="dxa"/>
          </w:tcPr>
          <w:p w14:paraId="3E70EF94" w14:textId="77777777"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p>
        </w:tc>
        <w:tc>
          <w:tcPr>
            <w:tcW w:w="2161" w:type="dxa"/>
          </w:tcPr>
          <w:p w14:paraId="6F13691C" w14:textId="48204A17" w:rsidR="00C95A07" w:rsidRPr="00C95A07" w:rsidRDefault="00C95A07" w:rsidP="00524BE0">
            <w:pPr>
              <w:cnfStyle w:val="000000000000" w:firstRow="0" w:lastRow="0" w:firstColumn="0" w:lastColumn="0" w:oddVBand="0" w:evenVBand="0" w:oddHBand="0" w:evenHBand="0" w:firstRowFirstColumn="0" w:firstRowLastColumn="0" w:lastRowFirstColumn="0" w:lastRowLastColumn="0"/>
            </w:pPr>
            <w:r w:rsidRPr="00C95A07">
              <w:t>Total</w:t>
            </w:r>
          </w:p>
        </w:tc>
        <w:tc>
          <w:tcPr>
            <w:tcW w:w="2318" w:type="dxa"/>
          </w:tcPr>
          <w:p w14:paraId="34FE6F50" w14:textId="20984413" w:rsidR="00C95A07" w:rsidRPr="00C95A07" w:rsidRDefault="00B2685B" w:rsidP="00524BE0">
            <w:pPr>
              <w:cnfStyle w:val="000000000000" w:firstRow="0" w:lastRow="0" w:firstColumn="0" w:lastColumn="0" w:oddVBand="0" w:evenVBand="0" w:oddHBand="0" w:evenHBand="0" w:firstRowFirstColumn="0" w:firstRowLastColumn="0" w:lastRowFirstColumn="0" w:lastRowLastColumn="0"/>
            </w:pPr>
            <w:r>
              <w:rPr>
                <w:i/>
                <w:iCs/>
              </w:rPr>
              <w:t>$</w:t>
            </w:r>
            <w:r w:rsidRPr="00B20727">
              <w:rPr>
                <w:i/>
                <w:iCs/>
              </w:rPr>
              <w:t>1</w:t>
            </w:r>
            <w:r>
              <w:rPr>
                <w:i/>
                <w:iCs/>
              </w:rPr>
              <w:t>6,964</w:t>
            </w:r>
          </w:p>
        </w:tc>
      </w:tr>
    </w:tbl>
    <w:p w14:paraId="76DE269F" w14:textId="5080F426" w:rsidR="00C95A07" w:rsidRDefault="00B20727" w:rsidP="00B20727">
      <w:r>
        <w:t>Each team member will receive the maximum of $5000 allotted by the ALG transformation grant. The remaining $2,000 will be for student supplies to facilitate learning how to teach math. The supplies include but are not limited to legos, cubes etc.</w:t>
      </w:r>
    </w:p>
    <w:p w14:paraId="1ACDE50D" w14:textId="77777777" w:rsidR="00B20727" w:rsidRPr="00B20727" w:rsidRDefault="00B20727" w:rsidP="00B20727"/>
    <w:p w14:paraId="645C9704" w14:textId="64B7B66C" w:rsidR="00524BE0" w:rsidRDefault="00524BE0" w:rsidP="00524BE0">
      <w:pPr>
        <w:pStyle w:val="Heading2"/>
      </w:pPr>
      <w:r>
        <w:t>7. Sustainability Plan</w:t>
      </w:r>
    </w:p>
    <w:p w14:paraId="68C28572" w14:textId="6D531CB2" w:rsidR="00E37804" w:rsidRPr="00E37804" w:rsidRDefault="00E37804" w:rsidP="00524BE0">
      <w:pPr>
        <w:rPr>
          <w:iCs/>
        </w:rPr>
      </w:pPr>
      <w:r w:rsidRPr="00E37804">
        <w:rPr>
          <w:iCs/>
        </w:rPr>
        <w:t xml:space="preserve">Based on the information on the in the pre-survey and post survey, adjustments will be made to the course annually. The course material will be adopted departmental and university wide thus lending to annual updates and revisions. Additional funding will be sought to explore how to incorporate teaching pedagogy and High Impact Practices (HIPs) assignments in the curriculum.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rPr>
          <w:rFonts w:eastAsiaTheme="minorEastAsia" w:cstheme="minorBidi"/>
          <w:i/>
          <w:iCs/>
        </w:rPr>
      </w:pPr>
      <w:r w:rsidRPr="004514FA">
        <w:rPr>
          <w:rFonts w:eastAsiaTheme="minorEastAsia" w:cstheme="minorBidi"/>
          <w:i/>
          <w:iCs/>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rPr>
          <w:rFonts w:eastAsiaTheme="minorEastAsia" w:cstheme="minorBidi"/>
          <w:i/>
          <w:iCs/>
        </w:rPr>
      </w:pPr>
      <w:r w:rsidRPr="004514FA">
        <w:rPr>
          <w:rFonts w:eastAsiaTheme="minorEastAsia" w:cstheme="minorBidi"/>
          <w:i/>
          <w:iCs/>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rPr>
          <w:rFonts w:eastAsiaTheme="minorEastAsia" w:cstheme="minorBidi"/>
          <w:i/>
          <w:iCs/>
        </w:rPr>
      </w:pPr>
      <w:r w:rsidRPr="004514FA">
        <w:rPr>
          <w:rFonts w:eastAsiaTheme="minorEastAsia" w:cstheme="minorBidi"/>
          <w:i/>
          <w:iCs/>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rPr>
          <w:rFonts w:eastAsiaTheme="minorEastAsia" w:cstheme="minorBidi"/>
        </w:rPr>
      </w:pPr>
      <w:r w:rsidRPr="004514FA">
        <w:rPr>
          <w:rFonts w:eastAsiaTheme="minorEastAsia" w:cstheme="minorBidi"/>
          <w:i/>
          <w:iCs/>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rPr>
          <w:rFonts w:eastAsiaTheme="minorEastAsia" w:cstheme="minorBidi"/>
          <w:i/>
          <w:iCs/>
        </w:rPr>
      </w:pPr>
    </w:p>
    <w:p w14:paraId="69031BC6" w14:textId="77777777" w:rsidR="004514FA" w:rsidRPr="004514FA" w:rsidRDefault="004514FA" w:rsidP="004514FA">
      <w:pPr>
        <w:spacing w:after="160" w:line="259" w:lineRule="auto"/>
        <w:contextualSpacing/>
        <w:rPr>
          <w:rFonts w:eastAsiaTheme="minorEastAsia" w:cstheme="minorBidi"/>
          <w:i/>
          <w:iCs/>
        </w:rPr>
      </w:pPr>
      <w:r w:rsidRPr="004514FA">
        <w:rPr>
          <w:rFonts w:eastAsiaTheme="minorEastAsia" w:cstheme="minorBidi"/>
          <w:i/>
          <w:iCs/>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rPr>
          <w:rFonts w:eastAsiaTheme="minorEastAsia" w:cstheme="minorBidi"/>
          <w:i/>
          <w:iCs/>
        </w:rPr>
      </w:pPr>
    </w:p>
    <w:p w14:paraId="10854BB2" w14:textId="5E1CF61E" w:rsidR="00636FD3" w:rsidRPr="004514FA" w:rsidRDefault="00AA33EF" w:rsidP="00AA33EF">
      <w:pPr>
        <w:spacing w:after="160" w:line="259" w:lineRule="auto"/>
        <w:contextualSpacing/>
        <w:rPr>
          <w:rFonts w:eastAsiaTheme="minorEastAsia" w:cstheme="minorBidi"/>
        </w:rPr>
      </w:pPr>
      <w:r w:rsidRPr="004514FA">
        <w:rPr>
          <w:rFonts w:eastAsiaTheme="minorEastAsia" w:cstheme="minorBidi"/>
          <w:i/>
          <w:iCs/>
        </w:rPr>
        <w:t xml:space="preserve">Please provide the name and title of the department chair (or other administrator) who provided you with the Letter of Support. </w:t>
      </w:r>
      <w:r w:rsidR="00636FD3" w:rsidRPr="004514FA">
        <w:rPr>
          <w:rFonts w:eastAsiaTheme="minorEastAsia" w:cstheme="minorBidi"/>
          <w:i/>
          <w:iCs/>
        </w:rPr>
        <w:t xml:space="preserve"> </w:t>
      </w:r>
      <w:r w:rsidR="00636FD3" w:rsidRPr="004514FA">
        <w:rPr>
          <w:rFont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0F84BE48" w:rsidR="003A2B2B" w:rsidRPr="003A2B2B" w:rsidRDefault="00CC1CE4" w:rsidP="003A2B2B">
            <w:pPr>
              <w:rPr>
                <w:i/>
              </w:rPr>
            </w:pPr>
            <w:r w:rsidRPr="00CC1CE4">
              <w:rPr>
                <w:i/>
              </w:rPr>
              <w:lastRenderedPageBreak/>
              <w:t>Frederick</w:t>
            </w:r>
            <w:r>
              <w:rPr>
                <w:i/>
              </w:rPr>
              <w:t xml:space="preserve"> </w:t>
            </w:r>
            <w:r w:rsidRPr="00CC1CE4">
              <w:rPr>
                <w:i/>
              </w:rPr>
              <w:t>Mclaughlin</w:t>
            </w:r>
            <w:r>
              <w:rPr>
                <w:i/>
              </w:rPr>
              <w:t>, Interim Chairman, Unit 1</w:t>
            </w: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1906C956" w14:textId="77777777" w:rsidR="004B1C77" w:rsidRDefault="004B1C77" w:rsidP="004506A0">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4506A0">
      <w:pPr>
        <w:rPr>
          <w:i/>
          <w:iCs/>
        </w:rPr>
      </w:pPr>
      <w:r>
        <w:rPr>
          <w:i/>
          <w:iCs/>
        </w:rPr>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325AF189" w:rsidR="003A2B2B" w:rsidRPr="00C2495E" w:rsidRDefault="00C2495E" w:rsidP="003A2B2B">
            <w:r>
              <w:rPr>
                <w:rFonts w:ascii="Calibri" w:hAnsi="Calibri" w:cs="Calibri"/>
                <w:color w:val="000000"/>
                <w:sz w:val="22"/>
                <w:szCs w:val="22"/>
              </w:rPr>
              <w:t>Mrs. Joyce Y. Johnson, Director of the Office of Sponsored Program</w:t>
            </w:r>
            <w:r>
              <w:rPr>
                <w:color w:val="000000"/>
              </w:rPr>
              <w:t>s.</w:t>
            </w: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98A0" w14:textId="77777777" w:rsidR="0089477C" w:rsidRDefault="0089477C" w:rsidP="00FD120E">
      <w:r>
        <w:separator/>
      </w:r>
    </w:p>
  </w:endnote>
  <w:endnote w:type="continuationSeparator" w:id="0">
    <w:p w14:paraId="6F387D53" w14:textId="77777777" w:rsidR="0089477C" w:rsidRDefault="0089477C" w:rsidP="00FD120E">
      <w:r>
        <w:continuationSeparator/>
      </w:r>
    </w:p>
  </w:endnote>
  <w:endnote w:type="continuationNotice" w:id="1">
    <w:p w14:paraId="0128D170" w14:textId="77777777" w:rsidR="0089477C" w:rsidRDefault="00894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9015" w14:textId="77777777" w:rsidR="0089477C" w:rsidRDefault="0089477C" w:rsidP="00FD120E">
      <w:r>
        <w:separator/>
      </w:r>
    </w:p>
  </w:footnote>
  <w:footnote w:type="continuationSeparator" w:id="0">
    <w:p w14:paraId="4582E3C2" w14:textId="77777777" w:rsidR="0089477C" w:rsidRDefault="0089477C" w:rsidP="00FD120E">
      <w:r>
        <w:continuationSeparator/>
      </w:r>
    </w:p>
  </w:footnote>
  <w:footnote w:type="continuationNotice" w:id="1">
    <w:p w14:paraId="44131378" w14:textId="77777777" w:rsidR="0089477C" w:rsidRDefault="00894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8B1"/>
    <w:multiLevelType w:val="hybridMultilevel"/>
    <w:tmpl w:val="413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F1B5D"/>
    <w:multiLevelType w:val="hybridMultilevel"/>
    <w:tmpl w:val="FE88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941EF"/>
    <w:multiLevelType w:val="hybridMultilevel"/>
    <w:tmpl w:val="7866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7010261"/>
    <w:multiLevelType w:val="hybridMultilevel"/>
    <w:tmpl w:val="4D3E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3"/>
  </w:num>
  <w:num w:numId="5">
    <w:abstractNumId w:val="8"/>
  </w:num>
  <w:num w:numId="6">
    <w:abstractNumId w:val="16"/>
  </w:num>
  <w:num w:numId="7">
    <w:abstractNumId w:val="15"/>
  </w:num>
  <w:num w:numId="8">
    <w:abstractNumId w:val="2"/>
  </w:num>
  <w:num w:numId="9">
    <w:abstractNumId w:val="6"/>
  </w:num>
  <w:num w:numId="10">
    <w:abstractNumId w:val="9"/>
  </w:num>
  <w:num w:numId="11">
    <w:abstractNumId w:val="14"/>
  </w:num>
  <w:num w:numId="12">
    <w:abstractNumId w:val="17"/>
  </w:num>
  <w:num w:numId="13">
    <w:abstractNumId w:val="7"/>
  </w:num>
  <w:num w:numId="14">
    <w:abstractNumId w:val="11"/>
  </w:num>
  <w:num w:numId="15">
    <w:abstractNumId w:val="13"/>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a2MLIwtTA1NjNV0lEKTi0uzszPAykwrAUA5H1cgywAAAA="/>
  </w:docVars>
  <w:rsids>
    <w:rsidRoot w:val="003C350B"/>
    <w:rsid w:val="0002476A"/>
    <w:rsid w:val="000338D2"/>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5458C"/>
    <w:rsid w:val="00185A5B"/>
    <w:rsid w:val="00185DB9"/>
    <w:rsid w:val="00186AFF"/>
    <w:rsid w:val="001C4C98"/>
    <w:rsid w:val="001D4531"/>
    <w:rsid w:val="001D4CF2"/>
    <w:rsid w:val="001F17E4"/>
    <w:rsid w:val="00214E1D"/>
    <w:rsid w:val="0023728D"/>
    <w:rsid w:val="00251EFC"/>
    <w:rsid w:val="0026135C"/>
    <w:rsid w:val="00282637"/>
    <w:rsid w:val="00291B1A"/>
    <w:rsid w:val="002A3E3E"/>
    <w:rsid w:val="002C741E"/>
    <w:rsid w:val="002C7439"/>
    <w:rsid w:val="002D5497"/>
    <w:rsid w:val="002E66B9"/>
    <w:rsid w:val="003154E1"/>
    <w:rsid w:val="00325785"/>
    <w:rsid w:val="00356F78"/>
    <w:rsid w:val="003611AE"/>
    <w:rsid w:val="00387037"/>
    <w:rsid w:val="003A2B2B"/>
    <w:rsid w:val="003B4B4A"/>
    <w:rsid w:val="003C350B"/>
    <w:rsid w:val="003C5986"/>
    <w:rsid w:val="00413F44"/>
    <w:rsid w:val="00416F20"/>
    <w:rsid w:val="00446A77"/>
    <w:rsid w:val="004506A0"/>
    <w:rsid w:val="004514FA"/>
    <w:rsid w:val="00465D2C"/>
    <w:rsid w:val="004730A4"/>
    <w:rsid w:val="004866FB"/>
    <w:rsid w:val="004A118E"/>
    <w:rsid w:val="004B0444"/>
    <w:rsid w:val="004B1C77"/>
    <w:rsid w:val="004C04A8"/>
    <w:rsid w:val="004C6D54"/>
    <w:rsid w:val="004C7EF2"/>
    <w:rsid w:val="004D42FE"/>
    <w:rsid w:val="0050665D"/>
    <w:rsid w:val="00524BE0"/>
    <w:rsid w:val="005313E2"/>
    <w:rsid w:val="0055284A"/>
    <w:rsid w:val="005550F1"/>
    <w:rsid w:val="00566366"/>
    <w:rsid w:val="00574B8C"/>
    <w:rsid w:val="00580E63"/>
    <w:rsid w:val="005C0D8E"/>
    <w:rsid w:val="005C30D8"/>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43F94"/>
    <w:rsid w:val="00751D5A"/>
    <w:rsid w:val="00767F01"/>
    <w:rsid w:val="00774B5E"/>
    <w:rsid w:val="00797321"/>
    <w:rsid w:val="007C6039"/>
    <w:rsid w:val="007E0EE3"/>
    <w:rsid w:val="007F6B0C"/>
    <w:rsid w:val="007F6C48"/>
    <w:rsid w:val="008012A7"/>
    <w:rsid w:val="00813F58"/>
    <w:rsid w:val="0082497C"/>
    <w:rsid w:val="008379A9"/>
    <w:rsid w:val="008414ED"/>
    <w:rsid w:val="008479C9"/>
    <w:rsid w:val="0085697F"/>
    <w:rsid w:val="0088375A"/>
    <w:rsid w:val="0089477C"/>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0727"/>
    <w:rsid w:val="00B2685B"/>
    <w:rsid w:val="00B26BE7"/>
    <w:rsid w:val="00B46745"/>
    <w:rsid w:val="00B72091"/>
    <w:rsid w:val="00B77565"/>
    <w:rsid w:val="00B80CAC"/>
    <w:rsid w:val="00B93679"/>
    <w:rsid w:val="00BA03E8"/>
    <w:rsid w:val="00BC276C"/>
    <w:rsid w:val="00BE6EC4"/>
    <w:rsid w:val="00BF6072"/>
    <w:rsid w:val="00C0018D"/>
    <w:rsid w:val="00C15216"/>
    <w:rsid w:val="00C2495E"/>
    <w:rsid w:val="00C4485A"/>
    <w:rsid w:val="00C46854"/>
    <w:rsid w:val="00C613A6"/>
    <w:rsid w:val="00C877E3"/>
    <w:rsid w:val="00C93276"/>
    <w:rsid w:val="00C95A07"/>
    <w:rsid w:val="00C96436"/>
    <w:rsid w:val="00CA14A2"/>
    <w:rsid w:val="00CA1B7C"/>
    <w:rsid w:val="00CB218A"/>
    <w:rsid w:val="00CC073F"/>
    <w:rsid w:val="00CC1CE4"/>
    <w:rsid w:val="00CD04C2"/>
    <w:rsid w:val="00CD48C4"/>
    <w:rsid w:val="00D13BDA"/>
    <w:rsid w:val="00D222A7"/>
    <w:rsid w:val="00D23FE0"/>
    <w:rsid w:val="00D34F5D"/>
    <w:rsid w:val="00D35EAF"/>
    <w:rsid w:val="00D4448E"/>
    <w:rsid w:val="00D7479E"/>
    <w:rsid w:val="00D7643F"/>
    <w:rsid w:val="00D8245A"/>
    <w:rsid w:val="00DC36D9"/>
    <w:rsid w:val="00E10B09"/>
    <w:rsid w:val="00E162E1"/>
    <w:rsid w:val="00E23CB3"/>
    <w:rsid w:val="00E37804"/>
    <w:rsid w:val="00E6109D"/>
    <w:rsid w:val="00E71564"/>
    <w:rsid w:val="00E81E06"/>
    <w:rsid w:val="00E83655"/>
    <w:rsid w:val="00EA1089"/>
    <w:rsid w:val="00EB35BA"/>
    <w:rsid w:val="00EB6797"/>
    <w:rsid w:val="00EC730B"/>
    <w:rsid w:val="00ED46D7"/>
    <w:rsid w:val="00ED5FB6"/>
    <w:rsid w:val="00EE1D15"/>
    <w:rsid w:val="00EE40D8"/>
    <w:rsid w:val="00F07800"/>
    <w:rsid w:val="00F42FEA"/>
    <w:rsid w:val="00F5134B"/>
    <w:rsid w:val="00F56A94"/>
    <w:rsid w:val="00F719AE"/>
    <w:rsid w:val="00F75018"/>
    <w:rsid w:val="00F916DE"/>
    <w:rsid w:val="00FA32D5"/>
    <w:rsid w:val="00FB1229"/>
    <w:rsid w:val="00FB25C8"/>
    <w:rsid w:val="00FC0455"/>
    <w:rsid w:val="00FD120E"/>
    <w:rsid w:val="00FD30D0"/>
    <w:rsid w:val="00FE3608"/>
    <w:rsid w:val="00FF4C2A"/>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8263FC2F-7A20-4BB5-ABE0-1345BC7F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50B"/>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spacing w:after="200"/>
      <w:ind w:left="720"/>
      <w:contextualSpacing/>
      <w:jc w:val="both"/>
    </w:pPr>
    <w:rPr>
      <w:rFonts w:asciiTheme="minorHAnsi" w:hAnsiTheme="minorHAnsi" w:cstheme="minorHAnsi"/>
      <w:szCs w:val="20"/>
    </w:rPr>
  </w:style>
  <w:style w:type="paragraph" w:styleId="Title">
    <w:name w:val="Title"/>
    <w:basedOn w:val="Normal"/>
    <w:next w:val="Normal"/>
    <w:link w:val="TitleChar"/>
    <w:uiPriority w:val="10"/>
    <w:qFormat/>
    <w:rsid w:val="003C350B"/>
    <w:pPr>
      <w:contextualSpacing/>
      <w:jc w:val="both"/>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jc w:val="both"/>
    </w:pPr>
    <w:rPr>
      <w:rFonts w:asciiTheme="minorHAnsi" w:hAnsiTheme="minorHAnsi" w:cstheme="minorHAnsi"/>
      <w:szCs w:val="20"/>
    </w:r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jc w:val="both"/>
    </w:pPr>
    <w:rPr>
      <w:rFonts w:asciiTheme="minorHAnsi" w:hAnsiTheme="minorHAnsi" w:cstheme="minorHAnsi"/>
      <w:szCs w:val="20"/>
    </w:r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pPr>
      <w:spacing w:after="200"/>
      <w:jc w:val="both"/>
    </w:pPr>
    <w:rPr>
      <w:rFonts w:asciiTheme="minorHAnsi" w:hAnsiTheme="minorHAnsi" w:cstheme="minorHAnsi"/>
      <w:sz w:val="20"/>
      <w:szCs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spacing w:after="200"/>
      <w:jc w:val="both"/>
    </w:pPr>
    <w:rPr>
      <w:rFonts w:asciiTheme="minorHAnsi" w:hAnsiTheme="minorHAnsi" w:cstheme="minorHAnsi"/>
      <w:i/>
      <w:iCs/>
      <w:color w:val="44546A" w:themeColor="text2"/>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Emphasis">
    <w:name w:val="Emphasis"/>
    <w:basedOn w:val="DefaultParagraphFont"/>
    <w:uiPriority w:val="20"/>
    <w:qFormat/>
    <w:rsid w:val="00C877E3"/>
    <w:rPr>
      <w:i/>
      <w:iCs/>
    </w:rPr>
  </w:style>
  <w:style w:type="table" w:styleId="GridTable1Light">
    <w:name w:val="Grid Table 1 Light"/>
    <w:basedOn w:val="TableNormal"/>
    <w:uiPriority w:val="46"/>
    <w:rsid w:val="00C95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E6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0151">
      <w:bodyDiv w:val="1"/>
      <w:marLeft w:val="0"/>
      <w:marRight w:val="0"/>
      <w:marTop w:val="0"/>
      <w:marBottom w:val="0"/>
      <w:divBdr>
        <w:top w:val="none" w:sz="0" w:space="0" w:color="auto"/>
        <w:left w:val="none" w:sz="0" w:space="0" w:color="auto"/>
        <w:bottom w:val="none" w:sz="0" w:space="0" w:color="auto"/>
        <w:right w:val="none" w:sz="0" w:space="0" w:color="auto"/>
      </w:divBdr>
    </w:div>
    <w:div w:id="334917896">
      <w:bodyDiv w:val="1"/>
      <w:marLeft w:val="0"/>
      <w:marRight w:val="0"/>
      <w:marTop w:val="0"/>
      <w:marBottom w:val="0"/>
      <w:divBdr>
        <w:top w:val="none" w:sz="0" w:space="0" w:color="auto"/>
        <w:left w:val="none" w:sz="0" w:space="0" w:color="auto"/>
        <w:bottom w:val="none" w:sz="0" w:space="0" w:color="auto"/>
        <w:right w:val="none" w:sz="0" w:space="0" w:color="auto"/>
      </w:divBdr>
    </w:div>
    <w:div w:id="398359501">
      <w:bodyDiv w:val="1"/>
      <w:marLeft w:val="0"/>
      <w:marRight w:val="0"/>
      <w:marTop w:val="0"/>
      <w:marBottom w:val="0"/>
      <w:divBdr>
        <w:top w:val="none" w:sz="0" w:space="0" w:color="auto"/>
        <w:left w:val="none" w:sz="0" w:space="0" w:color="auto"/>
        <w:bottom w:val="none" w:sz="0" w:space="0" w:color="auto"/>
        <w:right w:val="none" w:sz="0" w:space="0" w:color="auto"/>
      </w:divBdr>
    </w:div>
    <w:div w:id="824392901">
      <w:bodyDiv w:val="1"/>
      <w:marLeft w:val="0"/>
      <w:marRight w:val="0"/>
      <w:marTop w:val="0"/>
      <w:marBottom w:val="0"/>
      <w:divBdr>
        <w:top w:val="none" w:sz="0" w:space="0" w:color="auto"/>
        <w:left w:val="none" w:sz="0" w:space="0" w:color="auto"/>
        <w:bottom w:val="none" w:sz="0" w:space="0" w:color="auto"/>
        <w:right w:val="none" w:sz="0" w:space="0" w:color="auto"/>
      </w:divBdr>
    </w:div>
    <w:div w:id="952858897">
      <w:bodyDiv w:val="1"/>
      <w:marLeft w:val="0"/>
      <w:marRight w:val="0"/>
      <w:marTop w:val="0"/>
      <w:marBottom w:val="0"/>
      <w:divBdr>
        <w:top w:val="none" w:sz="0" w:space="0" w:color="auto"/>
        <w:left w:val="none" w:sz="0" w:space="0" w:color="auto"/>
        <w:bottom w:val="none" w:sz="0" w:space="0" w:color="auto"/>
        <w:right w:val="none" w:sz="0" w:space="0" w:color="auto"/>
      </w:divBdr>
    </w:div>
    <w:div w:id="15452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Jag19</b:Tag>
    <b:SourceType>JournalArticle</b:SourceType>
    <b:Guid>{3BC5B575-7676-074C-8624-291A84B1F597}</b:Guid>
    <b:Author>
      <b:Author>
        <b:NameList>
          <b:Person>
            <b:Last>Jaggars</b:Last>
            <b:First>Shanna</b:First>
            <b:Middle>Smith</b:Middle>
          </b:Person>
          <b:Person>
            <b:Last> Marcos</b:Last>
            <b:Middle>D</b:Middle>
            <b:First>Rivera</b:First>
          </b:Person>
        </b:NameList>
      </b:Author>
    </b:Author>
    <b:Title>College Textbook Affordability: Landscape, Evidence, and Policy Directions</b:Title>
    <b:Year>2019</b:Year>
    <b:JournalName>Midwestern Higher Education Compact</b:JournalNam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5864E1622C041AEA18336966246DB" ma:contentTypeVersion="8" ma:contentTypeDescription="Create a new document." ma:contentTypeScope="" ma:versionID="f4711589b93bf03daace00a200830cde">
  <xsd:schema xmlns:xsd="http://www.w3.org/2001/XMLSchema" xmlns:xs="http://www.w3.org/2001/XMLSchema" xmlns:p="http://schemas.microsoft.com/office/2006/metadata/properties" xmlns:ns2="aaf9ee43-c348-4f5f-98bd-3162f7a8ae58" targetNamespace="http://schemas.microsoft.com/office/2006/metadata/properties" ma:root="true" ma:fieldsID="8434ee9bb8af80a829ee156f3e94a33f" ns2:_="">
    <xsd:import namespace="aaf9ee43-c348-4f5f-98bd-3162f7a8a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9ee43-c348-4f5f-98bd-3162f7a8a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35727-9B85-D54C-A1FF-D3EDE8DA958B}">
  <ds:schemaRefs>
    <ds:schemaRef ds:uri="http://schemas.openxmlformats.org/officeDocument/2006/bibliography"/>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B7804BEB-CCFD-429E-BEA6-BEB6379D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9ee43-c348-4f5f-98bd-3162f7a8a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12432</Characters>
  <Application>Microsoft Office Word</Application>
  <DocSecurity>0</DocSecurity>
  <Lines>103</Lines>
  <Paragraphs>29</Paragraphs>
  <ScaleCrop>false</ScaleCrop>
  <Company>University System of Georgia Board of Regents</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4</cp:revision>
  <dcterms:created xsi:type="dcterms:W3CDTF">2022-02-09T20:01:00Z</dcterms:created>
  <dcterms:modified xsi:type="dcterms:W3CDTF">2022-03-15T17:11:00Z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0x0101000C95864E1622C041AEA18336966246DB</vt:lpwstr>
  </property>
</Properties>
</file>