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F44D" w14:textId="124AC298" w:rsidR="00227BF0" w:rsidRPr="00EA244B" w:rsidRDefault="00D65831" w:rsidP="40BF7736">
      <w:pPr>
        <w:jc w:val="center"/>
        <w:rPr>
          <w:b/>
          <w:bCs/>
          <w:sz w:val="24"/>
          <w:szCs w:val="24"/>
        </w:rPr>
      </w:pPr>
      <w:r>
        <w:rPr>
          <w:noProof/>
        </w:rPr>
        <w:drawing>
          <wp:inline distT="0" distB="0" distL="0" distR="0" wp14:anchorId="5917F033" wp14:editId="163218BF">
            <wp:extent cx="3009900" cy="660709"/>
            <wp:effectExtent l="0" t="0" r="0" b="6350"/>
            <wp:docPr id="1417541261" name="Picture 5" descr="Affordable Learning Georgia logo" title="Affordable Learning Georg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009900" cy="660709"/>
                    </a:xfrm>
                    <a:prstGeom prst="rect">
                      <a:avLst/>
                    </a:prstGeom>
                  </pic:spPr>
                </pic:pic>
              </a:graphicData>
            </a:graphic>
          </wp:inline>
        </w:drawing>
      </w:r>
    </w:p>
    <w:p w14:paraId="7AB9E371" w14:textId="2FCA4943" w:rsidR="00BD5BE3" w:rsidRPr="00EA244B" w:rsidRDefault="00E012F5" w:rsidP="00BD5BE3">
      <w:pPr>
        <w:pStyle w:val="Title"/>
        <w:jc w:val="center"/>
      </w:pPr>
      <w:r>
        <w:t xml:space="preserve">2019 </w:t>
      </w:r>
      <w:r w:rsidR="00BD5BE3" w:rsidRPr="00EA244B">
        <w:t>Final Report Summary</w:t>
      </w:r>
    </w:p>
    <w:p w14:paraId="609635DF" w14:textId="2DE9A785" w:rsidR="00BD5BE3" w:rsidRDefault="00BD5BE3" w:rsidP="00875066">
      <w:pPr>
        <w:pStyle w:val="Subtitle"/>
        <w:jc w:val="center"/>
        <w:rPr>
          <w:sz w:val="28"/>
        </w:rPr>
      </w:pPr>
      <w:r w:rsidRPr="00EA244B">
        <w:rPr>
          <w:sz w:val="28"/>
        </w:rPr>
        <w:t xml:space="preserve">Textbook Transformation Grants Rounds </w:t>
      </w:r>
      <w:r w:rsidR="00875066">
        <w:rPr>
          <w:sz w:val="28"/>
        </w:rPr>
        <w:t xml:space="preserve">12, 13, &amp; 14 </w:t>
      </w:r>
      <w:r w:rsidR="00875066">
        <w:rPr>
          <w:sz w:val="28"/>
        </w:rPr>
        <w:br/>
        <w:t>w</w:t>
      </w:r>
      <w:r w:rsidR="00062714">
        <w:rPr>
          <w:sz w:val="28"/>
        </w:rPr>
        <w:t>ith Scaling Up OER / G2C Pilots</w:t>
      </w:r>
    </w:p>
    <w:p w14:paraId="44C74BBC" w14:textId="77777777" w:rsidR="0006469A" w:rsidRPr="0006469A" w:rsidRDefault="0006469A" w:rsidP="0006469A"/>
    <w:sdt>
      <w:sdtPr>
        <w:rPr>
          <w:rFonts w:asciiTheme="minorHAnsi" w:eastAsiaTheme="minorHAnsi" w:hAnsiTheme="minorHAnsi" w:cstheme="minorBidi"/>
          <w:color w:val="auto"/>
          <w:sz w:val="22"/>
          <w:szCs w:val="22"/>
        </w:rPr>
        <w:id w:val="-1255512324"/>
        <w:docPartObj>
          <w:docPartGallery w:val="Table of Contents"/>
          <w:docPartUnique/>
        </w:docPartObj>
      </w:sdtPr>
      <w:sdtEndPr>
        <w:rPr>
          <w:b/>
          <w:bCs/>
          <w:noProof/>
        </w:rPr>
      </w:sdtEndPr>
      <w:sdtContent>
        <w:p w14:paraId="2CB13614" w14:textId="5E400F3D" w:rsidR="0006469A" w:rsidRDefault="0006469A">
          <w:pPr>
            <w:pStyle w:val="TOCHeading"/>
          </w:pPr>
          <w:r>
            <w:t>Contents</w:t>
          </w:r>
        </w:p>
        <w:p w14:paraId="72622BA3" w14:textId="6ABD2544" w:rsidR="0006469A" w:rsidRDefault="0006469A">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3807104" w:history="1">
            <w:r w:rsidRPr="007574C0">
              <w:rPr>
                <w:rStyle w:val="Hyperlink"/>
                <w:noProof/>
              </w:rPr>
              <w:t>Highlights</w:t>
            </w:r>
            <w:r>
              <w:rPr>
                <w:noProof/>
                <w:webHidden/>
              </w:rPr>
              <w:tab/>
            </w:r>
            <w:r>
              <w:rPr>
                <w:noProof/>
                <w:webHidden/>
              </w:rPr>
              <w:fldChar w:fldCharType="begin"/>
            </w:r>
            <w:r>
              <w:rPr>
                <w:noProof/>
                <w:webHidden/>
              </w:rPr>
              <w:instrText xml:space="preserve"> PAGEREF _Toc3807104 \h </w:instrText>
            </w:r>
            <w:r>
              <w:rPr>
                <w:noProof/>
                <w:webHidden/>
              </w:rPr>
            </w:r>
            <w:r>
              <w:rPr>
                <w:noProof/>
                <w:webHidden/>
              </w:rPr>
              <w:fldChar w:fldCharType="separate"/>
            </w:r>
            <w:r>
              <w:rPr>
                <w:noProof/>
                <w:webHidden/>
              </w:rPr>
              <w:t>1</w:t>
            </w:r>
            <w:r>
              <w:rPr>
                <w:noProof/>
                <w:webHidden/>
              </w:rPr>
              <w:fldChar w:fldCharType="end"/>
            </w:r>
          </w:hyperlink>
        </w:p>
        <w:p w14:paraId="3B3113E9" w14:textId="5F1AECD2" w:rsidR="0006469A" w:rsidRDefault="00835F38">
          <w:pPr>
            <w:pStyle w:val="TOC1"/>
            <w:tabs>
              <w:tab w:val="right" w:leader="dot" w:pos="9350"/>
            </w:tabs>
            <w:rPr>
              <w:noProof/>
            </w:rPr>
          </w:pPr>
          <w:hyperlink w:anchor="_Toc3807105" w:history="1">
            <w:r w:rsidR="0006469A" w:rsidRPr="007574C0">
              <w:rPr>
                <w:rStyle w:val="Hyperlink"/>
                <w:noProof/>
              </w:rPr>
              <w:t>Background</w:t>
            </w:r>
            <w:r w:rsidR="0006469A">
              <w:rPr>
                <w:noProof/>
                <w:webHidden/>
              </w:rPr>
              <w:tab/>
            </w:r>
            <w:r w:rsidR="0006469A">
              <w:rPr>
                <w:noProof/>
                <w:webHidden/>
              </w:rPr>
              <w:fldChar w:fldCharType="begin"/>
            </w:r>
            <w:r w:rsidR="0006469A">
              <w:rPr>
                <w:noProof/>
                <w:webHidden/>
              </w:rPr>
              <w:instrText xml:space="preserve"> PAGEREF _Toc3807105 \h </w:instrText>
            </w:r>
            <w:r w:rsidR="0006469A">
              <w:rPr>
                <w:noProof/>
                <w:webHidden/>
              </w:rPr>
            </w:r>
            <w:r w:rsidR="0006469A">
              <w:rPr>
                <w:noProof/>
                <w:webHidden/>
              </w:rPr>
              <w:fldChar w:fldCharType="separate"/>
            </w:r>
            <w:r w:rsidR="0006469A">
              <w:rPr>
                <w:noProof/>
                <w:webHidden/>
              </w:rPr>
              <w:t>1</w:t>
            </w:r>
            <w:r w:rsidR="0006469A">
              <w:rPr>
                <w:noProof/>
                <w:webHidden/>
              </w:rPr>
              <w:fldChar w:fldCharType="end"/>
            </w:r>
          </w:hyperlink>
        </w:p>
        <w:p w14:paraId="64D5A9AF" w14:textId="1FD86CCE" w:rsidR="0006469A" w:rsidRDefault="00835F38">
          <w:pPr>
            <w:pStyle w:val="TOC1"/>
            <w:tabs>
              <w:tab w:val="right" w:leader="dot" w:pos="9350"/>
            </w:tabs>
            <w:rPr>
              <w:noProof/>
            </w:rPr>
          </w:pPr>
          <w:hyperlink w:anchor="_Toc3807106" w:history="1">
            <w:r w:rsidR="0006469A" w:rsidRPr="007574C0">
              <w:rPr>
                <w:rStyle w:val="Hyperlink"/>
                <w:noProof/>
              </w:rPr>
              <w:t>Savings</w:t>
            </w:r>
            <w:r w:rsidR="0006469A">
              <w:rPr>
                <w:noProof/>
                <w:webHidden/>
              </w:rPr>
              <w:tab/>
            </w:r>
            <w:r w:rsidR="0006469A">
              <w:rPr>
                <w:noProof/>
                <w:webHidden/>
              </w:rPr>
              <w:fldChar w:fldCharType="begin"/>
            </w:r>
            <w:r w:rsidR="0006469A">
              <w:rPr>
                <w:noProof/>
                <w:webHidden/>
              </w:rPr>
              <w:instrText xml:space="preserve"> PAGEREF _Toc3807106 \h </w:instrText>
            </w:r>
            <w:r w:rsidR="0006469A">
              <w:rPr>
                <w:noProof/>
                <w:webHidden/>
              </w:rPr>
            </w:r>
            <w:r w:rsidR="0006469A">
              <w:rPr>
                <w:noProof/>
                <w:webHidden/>
              </w:rPr>
              <w:fldChar w:fldCharType="separate"/>
            </w:r>
            <w:r w:rsidR="0006469A">
              <w:rPr>
                <w:noProof/>
                <w:webHidden/>
              </w:rPr>
              <w:t>2</w:t>
            </w:r>
            <w:r w:rsidR="0006469A">
              <w:rPr>
                <w:noProof/>
                <w:webHidden/>
              </w:rPr>
              <w:fldChar w:fldCharType="end"/>
            </w:r>
          </w:hyperlink>
        </w:p>
        <w:p w14:paraId="73DB88D2" w14:textId="586AE289" w:rsidR="0006469A" w:rsidRDefault="00835F38">
          <w:pPr>
            <w:pStyle w:val="TOC1"/>
            <w:tabs>
              <w:tab w:val="right" w:leader="dot" w:pos="9350"/>
            </w:tabs>
            <w:rPr>
              <w:noProof/>
            </w:rPr>
          </w:pPr>
          <w:hyperlink w:anchor="_Toc3807107" w:history="1">
            <w:r w:rsidR="0006469A" w:rsidRPr="007574C0">
              <w:rPr>
                <w:rStyle w:val="Hyperlink"/>
                <w:noProof/>
              </w:rPr>
              <w:t>Grantee Experiences</w:t>
            </w:r>
            <w:r w:rsidR="0006469A">
              <w:rPr>
                <w:noProof/>
                <w:webHidden/>
              </w:rPr>
              <w:tab/>
            </w:r>
            <w:r w:rsidR="0006469A">
              <w:rPr>
                <w:noProof/>
                <w:webHidden/>
              </w:rPr>
              <w:fldChar w:fldCharType="begin"/>
            </w:r>
            <w:r w:rsidR="0006469A">
              <w:rPr>
                <w:noProof/>
                <w:webHidden/>
              </w:rPr>
              <w:instrText xml:space="preserve"> PAGEREF _Toc3807107 \h </w:instrText>
            </w:r>
            <w:r w:rsidR="0006469A">
              <w:rPr>
                <w:noProof/>
                <w:webHidden/>
              </w:rPr>
            </w:r>
            <w:r w:rsidR="0006469A">
              <w:rPr>
                <w:noProof/>
                <w:webHidden/>
              </w:rPr>
              <w:fldChar w:fldCharType="separate"/>
            </w:r>
            <w:r w:rsidR="0006469A">
              <w:rPr>
                <w:noProof/>
                <w:webHidden/>
              </w:rPr>
              <w:t>2</w:t>
            </w:r>
            <w:r w:rsidR="0006469A">
              <w:rPr>
                <w:noProof/>
                <w:webHidden/>
              </w:rPr>
              <w:fldChar w:fldCharType="end"/>
            </w:r>
          </w:hyperlink>
        </w:p>
        <w:p w14:paraId="481CCFDB" w14:textId="671BBCBD" w:rsidR="0006469A" w:rsidRDefault="00835F38">
          <w:pPr>
            <w:pStyle w:val="TOC1"/>
            <w:tabs>
              <w:tab w:val="right" w:leader="dot" w:pos="9350"/>
            </w:tabs>
            <w:rPr>
              <w:noProof/>
            </w:rPr>
          </w:pPr>
          <w:hyperlink w:anchor="_Toc3807108" w:history="1">
            <w:r w:rsidR="0006469A" w:rsidRPr="007574C0">
              <w:rPr>
                <w:rStyle w:val="Hyperlink"/>
                <w:noProof/>
              </w:rPr>
              <w:t>Student Satisfaction</w:t>
            </w:r>
            <w:r w:rsidR="0006469A">
              <w:rPr>
                <w:noProof/>
                <w:webHidden/>
              </w:rPr>
              <w:tab/>
            </w:r>
            <w:r w:rsidR="0006469A">
              <w:rPr>
                <w:noProof/>
                <w:webHidden/>
              </w:rPr>
              <w:fldChar w:fldCharType="begin"/>
            </w:r>
            <w:r w:rsidR="0006469A">
              <w:rPr>
                <w:noProof/>
                <w:webHidden/>
              </w:rPr>
              <w:instrText xml:space="preserve"> PAGEREF _Toc3807108 \h </w:instrText>
            </w:r>
            <w:r w:rsidR="0006469A">
              <w:rPr>
                <w:noProof/>
                <w:webHidden/>
              </w:rPr>
            </w:r>
            <w:r w:rsidR="0006469A">
              <w:rPr>
                <w:noProof/>
                <w:webHidden/>
              </w:rPr>
              <w:fldChar w:fldCharType="separate"/>
            </w:r>
            <w:r w:rsidR="0006469A">
              <w:rPr>
                <w:noProof/>
                <w:webHidden/>
              </w:rPr>
              <w:t>4</w:t>
            </w:r>
            <w:r w:rsidR="0006469A">
              <w:rPr>
                <w:noProof/>
                <w:webHidden/>
              </w:rPr>
              <w:fldChar w:fldCharType="end"/>
            </w:r>
          </w:hyperlink>
        </w:p>
        <w:p w14:paraId="145EF03C" w14:textId="3FE553D7" w:rsidR="0006469A" w:rsidRDefault="00835F38">
          <w:pPr>
            <w:pStyle w:val="TOC1"/>
            <w:tabs>
              <w:tab w:val="right" w:leader="dot" w:pos="9350"/>
            </w:tabs>
            <w:rPr>
              <w:noProof/>
            </w:rPr>
          </w:pPr>
          <w:hyperlink w:anchor="_Toc3807109" w:history="1">
            <w:r w:rsidR="0006469A" w:rsidRPr="007574C0">
              <w:rPr>
                <w:rStyle w:val="Hyperlink"/>
                <w:noProof/>
              </w:rPr>
              <w:t>Student Learning Outcomes</w:t>
            </w:r>
            <w:r w:rsidR="0006469A">
              <w:rPr>
                <w:noProof/>
                <w:webHidden/>
              </w:rPr>
              <w:tab/>
            </w:r>
            <w:r w:rsidR="0006469A">
              <w:rPr>
                <w:noProof/>
                <w:webHidden/>
              </w:rPr>
              <w:fldChar w:fldCharType="begin"/>
            </w:r>
            <w:r w:rsidR="0006469A">
              <w:rPr>
                <w:noProof/>
                <w:webHidden/>
              </w:rPr>
              <w:instrText xml:space="preserve"> PAGEREF _Toc3807109 \h </w:instrText>
            </w:r>
            <w:r w:rsidR="0006469A">
              <w:rPr>
                <w:noProof/>
                <w:webHidden/>
              </w:rPr>
            </w:r>
            <w:r w:rsidR="0006469A">
              <w:rPr>
                <w:noProof/>
                <w:webHidden/>
              </w:rPr>
              <w:fldChar w:fldCharType="separate"/>
            </w:r>
            <w:r w:rsidR="0006469A">
              <w:rPr>
                <w:noProof/>
                <w:webHidden/>
              </w:rPr>
              <w:t>5</w:t>
            </w:r>
            <w:r w:rsidR="0006469A">
              <w:rPr>
                <w:noProof/>
                <w:webHidden/>
              </w:rPr>
              <w:fldChar w:fldCharType="end"/>
            </w:r>
          </w:hyperlink>
        </w:p>
        <w:p w14:paraId="1932E1F3" w14:textId="706D8BCE" w:rsidR="0006469A" w:rsidRDefault="00835F38">
          <w:pPr>
            <w:pStyle w:val="TOC1"/>
            <w:tabs>
              <w:tab w:val="right" w:leader="dot" w:pos="9350"/>
            </w:tabs>
            <w:rPr>
              <w:noProof/>
            </w:rPr>
          </w:pPr>
          <w:hyperlink w:anchor="_Toc3807110" w:history="1">
            <w:r w:rsidR="0006469A" w:rsidRPr="007574C0">
              <w:rPr>
                <w:rStyle w:val="Hyperlink"/>
                <w:noProof/>
              </w:rPr>
              <w:t>Course-Level Retention</w:t>
            </w:r>
            <w:r w:rsidR="0006469A">
              <w:rPr>
                <w:noProof/>
                <w:webHidden/>
              </w:rPr>
              <w:tab/>
            </w:r>
            <w:r w:rsidR="0006469A">
              <w:rPr>
                <w:noProof/>
                <w:webHidden/>
              </w:rPr>
              <w:fldChar w:fldCharType="begin"/>
            </w:r>
            <w:r w:rsidR="0006469A">
              <w:rPr>
                <w:noProof/>
                <w:webHidden/>
              </w:rPr>
              <w:instrText xml:space="preserve"> PAGEREF _Toc3807110 \h </w:instrText>
            </w:r>
            <w:r w:rsidR="0006469A">
              <w:rPr>
                <w:noProof/>
                <w:webHidden/>
              </w:rPr>
            </w:r>
            <w:r w:rsidR="0006469A">
              <w:rPr>
                <w:noProof/>
                <w:webHidden/>
              </w:rPr>
              <w:fldChar w:fldCharType="separate"/>
            </w:r>
            <w:r w:rsidR="0006469A">
              <w:rPr>
                <w:noProof/>
                <w:webHidden/>
              </w:rPr>
              <w:t>6</w:t>
            </w:r>
            <w:r w:rsidR="0006469A">
              <w:rPr>
                <w:noProof/>
                <w:webHidden/>
              </w:rPr>
              <w:fldChar w:fldCharType="end"/>
            </w:r>
          </w:hyperlink>
        </w:p>
        <w:p w14:paraId="5012EAF0" w14:textId="2C0B1A9E" w:rsidR="0006469A" w:rsidRDefault="00835F38">
          <w:pPr>
            <w:pStyle w:val="TOC1"/>
            <w:tabs>
              <w:tab w:val="right" w:leader="dot" w:pos="9350"/>
            </w:tabs>
            <w:rPr>
              <w:noProof/>
            </w:rPr>
          </w:pPr>
          <w:hyperlink w:anchor="_Toc3807111" w:history="1">
            <w:r w:rsidR="0006469A" w:rsidRPr="007574C0">
              <w:rPr>
                <w:rStyle w:val="Hyperlink"/>
                <w:noProof/>
              </w:rPr>
              <w:t>Lessons Learned</w:t>
            </w:r>
            <w:r w:rsidR="0006469A">
              <w:rPr>
                <w:noProof/>
                <w:webHidden/>
              </w:rPr>
              <w:tab/>
            </w:r>
            <w:r w:rsidR="0006469A">
              <w:rPr>
                <w:noProof/>
                <w:webHidden/>
              </w:rPr>
              <w:fldChar w:fldCharType="begin"/>
            </w:r>
            <w:r w:rsidR="0006469A">
              <w:rPr>
                <w:noProof/>
                <w:webHidden/>
              </w:rPr>
              <w:instrText xml:space="preserve"> PAGEREF _Toc3807111 \h </w:instrText>
            </w:r>
            <w:r w:rsidR="0006469A">
              <w:rPr>
                <w:noProof/>
                <w:webHidden/>
              </w:rPr>
            </w:r>
            <w:r w:rsidR="0006469A">
              <w:rPr>
                <w:noProof/>
                <w:webHidden/>
              </w:rPr>
              <w:fldChar w:fldCharType="separate"/>
            </w:r>
            <w:r w:rsidR="0006469A">
              <w:rPr>
                <w:noProof/>
                <w:webHidden/>
              </w:rPr>
              <w:t>7</w:t>
            </w:r>
            <w:r w:rsidR="0006469A">
              <w:rPr>
                <w:noProof/>
                <w:webHidden/>
              </w:rPr>
              <w:fldChar w:fldCharType="end"/>
            </w:r>
          </w:hyperlink>
        </w:p>
        <w:p w14:paraId="00CBD3DB" w14:textId="62ADDD9B" w:rsidR="0006469A" w:rsidRDefault="00835F38">
          <w:pPr>
            <w:pStyle w:val="TOC1"/>
            <w:tabs>
              <w:tab w:val="right" w:leader="dot" w:pos="9350"/>
            </w:tabs>
            <w:rPr>
              <w:noProof/>
            </w:rPr>
          </w:pPr>
          <w:hyperlink w:anchor="_Toc3807112" w:history="1">
            <w:r w:rsidR="0006469A" w:rsidRPr="007574C0">
              <w:rPr>
                <w:rStyle w:val="Hyperlink"/>
                <w:noProof/>
              </w:rPr>
              <w:t>Conclusions</w:t>
            </w:r>
            <w:r w:rsidR="0006469A">
              <w:rPr>
                <w:noProof/>
                <w:webHidden/>
              </w:rPr>
              <w:tab/>
            </w:r>
            <w:r w:rsidR="0006469A">
              <w:rPr>
                <w:noProof/>
                <w:webHidden/>
              </w:rPr>
              <w:fldChar w:fldCharType="begin"/>
            </w:r>
            <w:r w:rsidR="0006469A">
              <w:rPr>
                <w:noProof/>
                <w:webHidden/>
              </w:rPr>
              <w:instrText xml:space="preserve"> PAGEREF _Toc3807112 \h </w:instrText>
            </w:r>
            <w:r w:rsidR="0006469A">
              <w:rPr>
                <w:noProof/>
                <w:webHidden/>
              </w:rPr>
            </w:r>
            <w:r w:rsidR="0006469A">
              <w:rPr>
                <w:noProof/>
                <w:webHidden/>
              </w:rPr>
              <w:fldChar w:fldCharType="separate"/>
            </w:r>
            <w:r w:rsidR="0006469A">
              <w:rPr>
                <w:noProof/>
                <w:webHidden/>
              </w:rPr>
              <w:t>9</w:t>
            </w:r>
            <w:r w:rsidR="0006469A">
              <w:rPr>
                <w:noProof/>
                <w:webHidden/>
              </w:rPr>
              <w:fldChar w:fldCharType="end"/>
            </w:r>
          </w:hyperlink>
        </w:p>
        <w:p w14:paraId="268B23CB" w14:textId="7862076B" w:rsidR="0006469A" w:rsidRDefault="00835F38">
          <w:pPr>
            <w:pStyle w:val="TOC1"/>
            <w:tabs>
              <w:tab w:val="right" w:leader="dot" w:pos="9350"/>
            </w:tabs>
            <w:rPr>
              <w:noProof/>
            </w:rPr>
          </w:pPr>
          <w:hyperlink w:anchor="_Toc3807113" w:history="1">
            <w:r w:rsidR="0006469A" w:rsidRPr="007574C0">
              <w:rPr>
                <w:rStyle w:val="Hyperlink"/>
                <w:noProof/>
              </w:rPr>
              <w:t>Analysis Challenges</w:t>
            </w:r>
            <w:r w:rsidR="0006469A">
              <w:rPr>
                <w:noProof/>
                <w:webHidden/>
              </w:rPr>
              <w:tab/>
            </w:r>
            <w:r w:rsidR="0006469A">
              <w:rPr>
                <w:noProof/>
                <w:webHidden/>
              </w:rPr>
              <w:fldChar w:fldCharType="begin"/>
            </w:r>
            <w:r w:rsidR="0006469A">
              <w:rPr>
                <w:noProof/>
                <w:webHidden/>
              </w:rPr>
              <w:instrText xml:space="preserve"> PAGEREF _Toc3807113 \h </w:instrText>
            </w:r>
            <w:r w:rsidR="0006469A">
              <w:rPr>
                <w:noProof/>
                <w:webHidden/>
              </w:rPr>
            </w:r>
            <w:r w:rsidR="0006469A">
              <w:rPr>
                <w:noProof/>
                <w:webHidden/>
              </w:rPr>
              <w:fldChar w:fldCharType="separate"/>
            </w:r>
            <w:r w:rsidR="0006469A">
              <w:rPr>
                <w:noProof/>
                <w:webHidden/>
              </w:rPr>
              <w:t>9</w:t>
            </w:r>
            <w:r w:rsidR="0006469A">
              <w:rPr>
                <w:noProof/>
                <w:webHidden/>
              </w:rPr>
              <w:fldChar w:fldCharType="end"/>
            </w:r>
          </w:hyperlink>
        </w:p>
        <w:p w14:paraId="39E50EB2" w14:textId="77777777" w:rsidR="0006469A" w:rsidRDefault="0006469A" w:rsidP="0006469A">
          <w:pPr>
            <w:rPr>
              <w:b/>
              <w:bCs/>
              <w:noProof/>
            </w:rPr>
          </w:pPr>
          <w:r>
            <w:rPr>
              <w:b/>
              <w:bCs/>
              <w:noProof/>
            </w:rPr>
            <w:fldChar w:fldCharType="end"/>
          </w:r>
        </w:p>
      </w:sdtContent>
    </w:sdt>
    <w:bookmarkStart w:id="0" w:name="_Toc3807104" w:displacedByCustomXml="prev"/>
    <w:p w14:paraId="04FED169" w14:textId="5276FD6D" w:rsidR="0006469A" w:rsidRPr="0006469A" w:rsidRDefault="0006469A" w:rsidP="0006469A">
      <w:pPr>
        <w:rPr>
          <w:b/>
          <w:bCs/>
          <w:noProof/>
        </w:rPr>
      </w:pPr>
      <w:r>
        <w:br w:type="page"/>
      </w:r>
    </w:p>
    <w:p w14:paraId="5B880979" w14:textId="022C9FE5" w:rsidR="007F5ED3" w:rsidRPr="00EA244B" w:rsidRDefault="007F5ED3" w:rsidP="007F5ED3">
      <w:pPr>
        <w:pStyle w:val="Heading1"/>
      </w:pPr>
      <w:r>
        <w:lastRenderedPageBreak/>
        <w:t>Highlig</w:t>
      </w:r>
      <w:r w:rsidRPr="00EA244B">
        <w:t>hts</w:t>
      </w:r>
      <w:bookmarkEnd w:id="0"/>
    </w:p>
    <w:p w14:paraId="43E4FB09" w14:textId="77777777" w:rsidR="007F5ED3" w:rsidRDefault="007F5ED3" w:rsidP="007F5ED3">
      <w:pPr>
        <w:spacing w:after="240"/>
      </w:pPr>
      <w:r w:rsidRPr="00EA244B">
        <w:t xml:space="preserve">Students affected by the Textbook Transformation Grants were mostly positive about the savings and access they provide, while instructors found that their projects were important experiences in informing their instructional knowledge and methods. </w:t>
      </w:r>
    </w:p>
    <w:p w14:paraId="17475C99" w14:textId="6BD95411" w:rsidR="00CE10FD" w:rsidRDefault="00CE10FD" w:rsidP="003700D1">
      <w:pPr>
        <w:pStyle w:val="ListParagraph"/>
        <w:numPr>
          <w:ilvl w:val="0"/>
          <w:numId w:val="19"/>
        </w:numPr>
        <w:spacing w:after="240"/>
      </w:pPr>
      <w:r>
        <w:t>Teams reported</w:t>
      </w:r>
      <w:r w:rsidR="001E49C2">
        <w:t xml:space="preserve"> mostly</w:t>
      </w:r>
      <w:r>
        <w:t xml:space="preserve"> </w:t>
      </w:r>
      <w:r w:rsidR="00CB37E8">
        <w:rPr>
          <w:b/>
          <w:bCs/>
        </w:rPr>
        <w:t xml:space="preserve">positive </w:t>
      </w:r>
      <w:r w:rsidR="00A42FD2">
        <w:rPr>
          <w:b/>
          <w:bCs/>
        </w:rPr>
        <w:t>student opinions of the new materials (</w:t>
      </w:r>
      <w:r w:rsidR="00A02A22">
        <w:rPr>
          <w:b/>
          <w:bCs/>
        </w:rPr>
        <w:t>81</w:t>
      </w:r>
      <w:r w:rsidR="00A42FD2">
        <w:rPr>
          <w:b/>
          <w:bCs/>
        </w:rPr>
        <w:t>.</w:t>
      </w:r>
      <w:r w:rsidR="00A02A22">
        <w:rPr>
          <w:b/>
          <w:bCs/>
        </w:rPr>
        <w:t>82</w:t>
      </w:r>
      <w:r w:rsidR="00A42FD2">
        <w:rPr>
          <w:b/>
          <w:bCs/>
        </w:rPr>
        <w:t>%</w:t>
      </w:r>
      <w:r w:rsidR="0037184F">
        <w:rPr>
          <w:b/>
          <w:bCs/>
        </w:rPr>
        <w:t xml:space="preserve"> positive, </w:t>
      </w:r>
      <w:r w:rsidR="00A02A22">
        <w:rPr>
          <w:b/>
          <w:bCs/>
        </w:rPr>
        <w:t>18</w:t>
      </w:r>
      <w:r w:rsidR="0037184F">
        <w:rPr>
          <w:b/>
          <w:bCs/>
        </w:rPr>
        <w:t>.</w:t>
      </w:r>
      <w:r w:rsidR="00A02A22">
        <w:rPr>
          <w:b/>
          <w:bCs/>
        </w:rPr>
        <w:t>18</w:t>
      </w:r>
      <w:r w:rsidR="0037184F">
        <w:rPr>
          <w:b/>
          <w:bCs/>
        </w:rPr>
        <w:t>% neutral</w:t>
      </w:r>
      <w:r w:rsidR="00A42FD2">
        <w:rPr>
          <w:b/>
          <w:bCs/>
        </w:rPr>
        <w:t>)</w:t>
      </w:r>
      <w:r w:rsidR="00A42FD2">
        <w:t xml:space="preserve"> implemented in Textbook Transformation Grants projects.</w:t>
      </w:r>
    </w:p>
    <w:p w14:paraId="7B4F3AAC" w14:textId="59931FA1" w:rsidR="007F5ED3" w:rsidRDefault="007F5ED3" w:rsidP="003700D1">
      <w:pPr>
        <w:pStyle w:val="ListParagraph"/>
        <w:numPr>
          <w:ilvl w:val="0"/>
          <w:numId w:val="19"/>
        </w:numPr>
        <w:spacing w:after="240"/>
      </w:pPr>
      <w:r w:rsidRPr="00EA244B">
        <w:t xml:space="preserve">Teams reported largely </w:t>
      </w:r>
      <w:r w:rsidRPr="007F5ED3">
        <w:rPr>
          <w:b/>
        </w:rPr>
        <w:t xml:space="preserve">positive </w:t>
      </w:r>
      <w:r w:rsidR="00A42FD2">
        <w:rPr>
          <w:b/>
        </w:rPr>
        <w:t>(5</w:t>
      </w:r>
      <w:r w:rsidR="001E49C2">
        <w:rPr>
          <w:b/>
        </w:rPr>
        <w:t>2</w:t>
      </w:r>
      <w:r w:rsidR="00A42FD2">
        <w:rPr>
          <w:b/>
        </w:rPr>
        <w:t>.</w:t>
      </w:r>
      <w:r w:rsidR="001E49C2">
        <w:rPr>
          <w:b/>
        </w:rPr>
        <w:t>38</w:t>
      </w:r>
      <w:r w:rsidR="00A42FD2">
        <w:rPr>
          <w:b/>
        </w:rPr>
        <w:t xml:space="preserve">%) </w:t>
      </w:r>
      <w:r w:rsidRPr="007F5ED3">
        <w:rPr>
          <w:b/>
        </w:rPr>
        <w:t>or neutral</w:t>
      </w:r>
      <w:r w:rsidR="00A42FD2">
        <w:rPr>
          <w:b/>
        </w:rPr>
        <w:t xml:space="preserve"> (</w:t>
      </w:r>
      <w:r w:rsidR="001E49C2">
        <w:rPr>
          <w:b/>
        </w:rPr>
        <w:t>33</w:t>
      </w:r>
      <w:r w:rsidR="001F50A4">
        <w:rPr>
          <w:b/>
        </w:rPr>
        <w:t>.</w:t>
      </w:r>
      <w:r w:rsidR="001E49C2">
        <w:rPr>
          <w:b/>
        </w:rPr>
        <w:t>33</w:t>
      </w:r>
      <w:r w:rsidR="001F50A4">
        <w:rPr>
          <w:b/>
        </w:rPr>
        <w:t>%)</w:t>
      </w:r>
      <w:r w:rsidRPr="007F5ED3">
        <w:rPr>
          <w:b/>
        </w:rPr>
        <w:t xml:space="preserve"> comparative student learning outcomes </w:t>
      </w:r>
      <w:r w:rsidRPr="00EA244B">
        <w:t>compared to previous semesters, control groups, and/or instructor and departmental averages with a commercial textbook</w:t>
      </w:r>
      <w:r>
        <w:t xml:space="preserve">. </w:t>
      </w:r>
    </w:p>
    <w:p w14:paraId="6FA85D83" w14:textId="29B84470" w:rsidR="001F50A4" w:rsidRDefault="001F50A4" w:rsidP="001F50A4">
      <w:pPr>
        <w:pStyle w:val="ListParagraph"/>
        <w:numPr>
          <w:ilvl w:val="0"/>
          <w:numId w:val="19"/>
        </w:numPr>
        <w:spacing w:after="240"/>
      </w:pPr>
      <w:r w:rsidRPr="00EA244B">
        <w:t xml:space="preserve">Teams reported largely </w:t>
      </w:r>
      <w:r w:rsidRPr="007F5ED3">
        <w:rPr>
          <w:b/>
        </w:rPr>
        <w:t xml:space="preserve">positive </w:t>
      </w:r>
      <w:r>
        <w:rPr>
          <w:b/>
        </w:rPr>
        <w:t>(</w:t>
      </w:r>
      <w:r w:rsidR="00F15AAB">
        <w:rPr>
          <w:b/>
        </w:rPr>
        <w:t>6</w:t>
      </w:r>
      <w:r w:rsidR="00D440E3">
        <w:rPr>
          <w:b/>
        </w:rPr>
        <w:t>1</w:t>
      </w:r>
      <w:r>
        <w:rPr>
          <w:b/>
        </w:rPr>
        <w:t>.</w:t>
      </w:r>
      <w:r w:rsidR="00D440E3">
        <w:rPr>
          <w:b/>
        </w:rPr>
        <w:t>90</w:t>
      </w:r>
      <w:r>
        <w:rPr>
          <w:b/>
        </w:rPr>
        <w:t xml:space="preserve">%) </w:t>
      </w:r>
      <w:r w:rsidRPr="007F5ED3">
        <w:rPr>
          <w:b/>
        </w:rPr>
        <w:t>or neutral</w:t>
      </w:r>
      <w:r>
        <w:rPr>
          <w:b/>
        </w:rPr>
        <w:t xml:space="preserve"> (2</w:t>
      </w:r>
      <w:r w:rsidR="00F15AAB">
        <w:rPr>
          <w:b/>
        </w:rPr>
        <w:t>3</w:t>
      </w:r>
      <w:r>
        <w:rPr>
          <w:b/>
        </w:rPr>
        <w:t>.</w:t>
      </w:r>
      <w:r w:rsidR="00D440E3">
        <w:rPr>
          <w:b/>
        </w:rPr>
        <w:t>81</w:t>
      </w:r>
      <w:r>
        <w:rPr>
          <w:b/>
        </w:rPr>
        <w:t>%)</w:t>
      </w:r>
      <w:r w:rsidRPr="007F5ED3">
        <w:rPr>
          <w:b/>
        </w:rPr>
        <w:t xml:space="preserve"> comparative </w:t>
      </w:r>
      <w:r w:rsidR="00F15AAB">
        <w:rPr>
          <w:b/>
        </w:rPr>
        <w:t xml:space="preserve">course-level retention and completion rates </w:t>
      </w:r>
      <w:r w:rsidRPr="00EA244B">
        <w:t>compared to previous semesters, control groups, and/or instructor and departmental averages with a commercial textbook</w:t>
      </w:r>
      <w:r>
        <w:t xml:space="preserve">. </w:t>
      </w:r>
    </w:p>
    <w:p w14:paraId="1416CD48" w14:textId="5AFF778B" w:rsidR="007F5ED3" w:rsidRDefault="007F5ED3" w:rsidP="003700D1">
      <w:pPr>
        <w:pStyle w:val="ListParagraph"/>
        <w:numPr>
          <w:ilvl w:val="0"/>
          <w:numId w:val="19"/>
        </w:numPr>
        <w:spacing w:after="240"/>
      </w:pPr>
      <w:r>
        <w:t>Team</w:t>
      </w:r>
      <w:r w:rsidR="006F4519">
        <w:t xml:space="preserve">s </w:t>
      </w:r>
      <w:r>
        <w:t>s</w:t>
      </w:r>
      <w:r w:rsidR="006F4519">
        <w:t>aved</w:t>
      </w:r>
      <w:r w:rsidR="00536AA6">
        <w:rPr>
          <w:b/>
        </w:rPr>
        <w:t xml:space="preserve"> 12,000+</w:t>
      </w:r>
      <w:r w:rsidRPr="007F5ED3">
        <w:rPr>
          <w:b/>
        </w:rPr>
        <w:t xml:space="preserve"> students over $1.5 million</w:t>
      </w:r>
      <w:r>
        <w:t xml:space="preserve"> </w:t>
      </w:r>
      <w:r w:rsidRPr="00EA244B">
        <w:t>just within the time of the project, and mostly within only the final semester of instruction.</w:t>
      </w:r>
    </w:p>
    <w:p w14:paraId="7A27F54A" w14:textId="5177A0B6" w:rsidR="00C67DFF" w:rsidRDefault="001F1C58" w:rsidP="00C67DFF">
      <w:pPr>
        <w:pStyle w:val="ListParagraph"/>
        <w:numPr>
          <w:ilvl w:val="0"/>
          <w:numId w:val="19"/>
        </w:numPr>
        <w:spacing w:after="240"/>
      </w:pPr>
      <w:r>
        <w:t xml:space="preserve">Many teams in this round </w:t>
      </w:r>
      <w:r w:rsidR="00892CBE">
        <w:t xml:space="preserve">remarked on the benefits of customizing and creating OER to fit the exact needs of the course and their students. </w:t>
      </w:r>
    </w:p>
    <w:p w14:paraId="755D42F3" w14:textId="5BA0649D" w:rsidR="00F94119" w:rsidRDefault="009E06BB" w:rsidP="00C67DFF">
      <w:pPr>
        <w:pStyle w:val="ListParagraph"/>
        <w:numPr>
          <w:ilvl w:val="0"/>
          <w:numId w:val="19"/>
        </w:numPr>
        <w:spacing w:after="240"/>
      </w:pPr>
      <w:r>
        <w:t xml:space="preserve">A common benefit reported from teams was </w:t>
      </w:r>
      <w:r w:rsidR="21AAC0F8">
        <w:t xml:space="preserve">the </w:t>
      </w:r>
      <w:r w:rsidR="00055078">
        <w:t xml:space="preserve">chance to reflect on and transform pedagogy as a result of the project. </w:t>
      </w:r>
    </w:p>
    <w:p w14:paraId="44BB2B15" w14:textId="375C017B" w:rsidR="00D34079" w:rsidRDefault="579AA829" w:rsidP="00D34079">
      <w:pPr>
        <w:pStyle w:val="ListParagraph"/>
        <w:numPr>
          <w:ilvl w:val="0"/>
          <w:numId w:val="19"/>
        </w:numPr>
      </w:pPr>
      <w:r>
        <w:t>Mentions of</w:t>
      </w:r>
      <w:r w:rsidR="00892CBE">
        <w:t xml:space="preserve"> </w:t>
      </w:r>
      <w:r w:rsidR="000E5DDC">
        <w:t xml:space="preserve">the amount of engagement with materials were split </w:t>
      </w:r>
      <w:r w:rsidR="4EE8715E">
        <w:t xml:space="preserve">between </w:t>
      </w:r>
      <w:r w:rsidR="004B4C33">
        <w:t xml:space="preserve">students still not reading enough post-implementation </w:t>
      </w:r>
      <w:r w:rsidR="778C61D4">
        <w:t>and students</w:t>
      </w:r>
      <w:r w:rsidR="00675546">
        <w:t xml:space="preserve"> reading more post-implementation. </w:t>
      </w:r>
    </w:p>
    <w:p w14:paraId="50F7463F" w14:textId="725FD2A3" w:rsidR="00D34079" w:rsidRDefault="00211085" w:rsidP="00866DD8">
      <w:pPr>
        <w:pStyle w:val="ListParagraph"/>
        <w:numPr>
          <w:ilvl w:val="0"/>
          <w:numId w:val="19"/>
        </w:numPr>
      </w:pPr>
      <w:r>
        <w:t xml:space="preserve">A common issue with implementation was the usability of </w:t>
      </w:r>
      <w:r w:rsidR="00996F1A">
        <w:t>either free and open-source</w:t>
      </w:r>
      <w:r w:rsidR="06195D11">
        <w:t>d</w:t>
      </w:r>
      <w:r w:rsidR="00996F1A">
        <w:t xml:space="preserve"> or low-cost homework systems to supplement OER. </w:t>
      </w:r>
    </w:p>
    <w:p w14:paraId="5A603D33" w14:textId="2A192CA0" w:rsidR="00866DD8" w:rsidRDefault="00866DD8" w:rsidP="00866DD8">
      <w:pPr>
        <w:pStyle w:val="ListParagraph"/>
        <w:numPr>
          <w:ilvl w:val="0"/>
          <w:numId w:val="19"/>
        </w:numPr>
      </w:pPr>
      <w:r>
        <w:t xml:space="preserve">A common issue reported from teams was a lack of time, whether it was due to </w:t>
      </w:r>
      <w:r w:rsidR="00381DF4">
        <w:t xml:space="preserve">team turnover, the lack of a course release option at the institution, </w:t>
      </w:r>
      <w:r w:rsidR="00F94119">
        <w:t xml:space="preserve">or </w:t>
      </w:r>
      <w:r w:rsidR="00C55EBE">
        <w:t xml:space="preserve">the project </w:t>
      </w:r>
      <w:r w:rsidR="00F94119">
        <w:t>requiring more work than originally planned.</w:t>
      </w:r>
    </w:p>
    <w:p w14:paraId="6FC7198A" w14:textId="77777777" w:rsidR="00384C54" w:rsidRDefault="00384C54">
      <w:pPr>
        <w:rPr>
          <w:rFonts w:asciiTheme="majorHAnsi" w:eastAsiaTheme="majorEastAsia" w:hAnsiTheme="majorHAnsi" w:cstheme="majorBidi"/>
          <w:color w:val="2E74B5" w:themeColor="accent1" w:themeShade="BF"/>
          <w:sz w:val="32"/>
          <w:szCs w:val="32"/>
        </w:rPr>
      </w:pPr>
      <w:bookmarkStart w:id="1" w:name="_Toc3807105"/>
      <w:r>
        <w:br w:type="page"/>
      </w:r>
    </w:p>
    <w:p w14:paraId="1A225041" w14:textId="681459D4" w:rsidR="00BB0165" w:rsidRPr="00EA244B" w:rsidRDefault="00BB0165" w:rsidP="00BD5BE3">
      <w:pPr>
        <w:pStyle w:val="Heading1"/>
      </w:pPr>
      <w:r w:rsidRPr="00EA244B">
        <w:lastRenderedPageBreak/>
        <w:t>Background</w:t>
      </w:r>
      <w:bookmarkEnd w:id="1"/>
    </w:p>
    <w:p w14:paraId="4C2EB6FB" w14:textId="348601CD" w:rsidR="00286FF0" w:rsidRPr="00EA244B" w:rsidRDefault="00227BF0" w:rsidP="00227BF0">
      <w:r>
        <w:t xml:space="preserve">Affordable Learning Georgia (ALG) Textbook Transformation Grants are intended to pilot different approaches in </w:t>
      </w:r>
      <w:r w:rsidR="00813DD5">
        <w:t>University System of Georgia (</w:t>
      </w:r>
      <w:r>
        <w:t>USG</w:t>
      </w:r>
      <w:r w:rsidR="00813DD5">
        <w:t>)</w:t>
      </w:r>
      <w:r>
        <w:t xml:space="preserve"> courses for textbook transformation</w:t>
      </w:r>
      <w:r w:rsidR="5CF015F2">
        <w:t>. Approaches</w:t>
      </w:r>
      <w:r>
        <w:t xml:space="preserve"> includ</w:t>
      </w:r>
      <w:r w:rsidR="3EB4B556">
        <w:t>e</w:t>
      </w:r>
      <w:r>
        <w:t xml:space="preserve"> adoption, adaptation, and creation of open educational resources (OER) and/or identification and adoption of materials already available through GALILEO and USG libraries. </w:t>
      </w:r>
      <w:r w:rsidR="000A431F">
        <w:t xml:space="preserve"> The grants support </w:t>
      </w:r>
      <w:r w:rsidR="00286FF0">
        <w:t>release time</w:t>
      </w:r>
      <w:r w:rsidR="3CEEE458">
        <w:t xml:space="preserve"> or</w:t>
      </w:r>
      <w:r w:rsidR="7FFE8D9B">
        <w:t xml:space="preserve"> salary/overload</w:t>
      </w:r>
      <w:r w:rsidR="00286FF0">
        <w:t xml:space="preserve">, materials, instructional design, library research and materials identification, and professional development needed for faculty to transform their use of learning materials.  </w:t>
      </w:r>
    </w:p>
    <w:p w14:paraId="5E07735A" w14:textId="73EB59B1" w:rsidR="000A431F" w:rsidRPr="00EA244B" w:rsidRDefault="000A431F" w:rsidP="00151155">
      <w:r w:rsidRPr="00EA244B">
        <w:t xml:space="preserve">This report summarizes the findings of all grantees in grant rounds </w:t>
      </w:r>
      <w:r w:rsidR="007D0465">
        <w:t>ending in calendar year 201</w:t>
      </w:r>
      <w:r w:rsidR="00837AEB">
        <w:t>9</w:t>
      </w:r>
      <w:r w:rsidR="00C00FC2">
        <w:t>. Three rounds (</w:t>
      </w:r>
      <w:r w:rsidR="006801AE">
        <w:t>spanning rounds 12 through 14</w:t>
      </w:r>
      <w:r w:rsidR="002D2D11">
        <w:t>)</w:t>
      </w:r>
      <w:r w:rsidRPr="00EA244B">
        <w:t xml:space="preserve"> </w:t>
      </w:r>
      <w:r w:rsidR="00813DD5" w:rsidRPr="00EA244B">
        <w:t>result</w:t>
      </w:r>
      <w:r w:rsidR="002D2D11">
        <w:t>ed</w:t>
      </w:r>
      <w:r w:rsidR="00813DD5" w:rsidRPr="00EA244B">
        <w:t xml:space="preserve"> in </w:t>
      </w:r>
      <w:r w:rsidR="00B67351">
        <w:t>2</w:t>
      </w:r>
      <w:r w:rsidR="00C00FC2">
        <w:t>7</w:t>
      </w:r>
      <w:r w:rsidR="00813DD5" w:rsidRPr="00EA244B">
        <w:t xml:space="preserve"> projects from teams of USG faculty and staff at</w:t>
      </w:r>
      <w:r w:rsidR="00B67351">
        <w:t xml:space="preserve"> USG institutions</w:t>
      </w:r>
      <w:r w:rsidR="00813DD5" w:rsidRPr="00EA244B">
        <w:t xml:space="preserve">. </w:t>
      </w:r>
      <w:r w:rsidR="00C67DFF">
        <w:t xml:space="preserve"> </w:t>
      </w:r>
    </w:p>
    <w:p w14:paraId="385A3104" w14:textId="48D18A13" w:rsidR="00C26694" w:rsidRPr="0093295B" w:rsidRDefault="00C26694" w:rsidP="00151155">
      <w:pPr>
        <w:rPr>
          <w:rStyle w:val="Emphasis"/>
        </w:rPr>
      </w:pPr>
      <w:r w:rsidRPr="0093295B">
        <w:rPr>
          <w:rStyle w:val="Emphasis"/>
        </w:rPr>
        <w:t xml:space="preserve">NOTE: In </w:t>
      </w:r>
      <w:r w:rsidR="009E4BB8" w:rsidRPr="0093295B">
        <w:rPr>
          <w:rStyle w:val="Emphasis"/>
        </w:rPr>
        <w:t xml:space="preserve">order to give faculty teams in </w:t>
      </w:r>
      <w:r w:rsidR="00B67351">
        <w:rPr>
          <w:rStyle w:val="Emphasis"/>
        </w:rPr>
        <w:t>fall and spring semester</w:t>
      </w:r>
      <w:r w:rsidR="009E4BB8" w:rsidRPr="0093295B">
        <w:rPr>
          <w:rStyle w:val="Emphasis"/>
        </w:rPr>
        <w:t xml:space="preserve"> rounds sufficient time to complete the</w:t>
      </w:r>
      <w:r w:rsidR="00B67351">
        <w:rPr>
          <w:rStyle w:val="Emphasis"/>
        </w:rPr>
        <w:t>ir</w:t>
      </w:r>
      <w:r w:rsidR="009E4BB8" w:rsidRPr="0093295B">
        <w:rPr>
          <w:rStyle w:val="Emphasis"/>
        </w:rPr>
        <w:t xml:space="preserve"> project</w:t>
      </w:r>
      <w:r w:rsidR="00B67351">
        <w:rPr>
          <w:rStyle w:val="Emphasis"/>
        </w:rPr>
        <w:t>s</w:t>
      </w:r>
      <w:r w:rsidR="009E4BB8" w:rsidRPr="0093295B">
        <w:rPr>
          <w:rStyle w:val="Emphasis"/>
        </w:rPr>
        <w:t xml:space="preserve">, </w:t>
      </w:r>
      <w:r w:rsidR="007352D0" w:rsidRPr="0093295B">
        <w:rPr>
          <w:rStyle w:val="Emphasis"/>
        </w:rPr>
        <w:t xml:space="preserve">ALG transitioned to a deadline </w:t>
      </w:r>
      <w:r w:rsidR="00A44547">
        <w:rPr>
          <w:rStyle w:val="Emphasis"/>
        </w:rPr>
        <w:t xml:space="preserve">maximum of no less than one year from the originating semester </w:t>
      </w:r>
      <w:r w:rsidR="00B67351">
        <w:rPr>
          <w:rStyle w:val="Emphasis"/>
        </w:rPr>
        <w:t>per</w:t>
      </w:r>
      <w:r w:rsidR="007352D0" w:rsidRPr="0093295B">
        <w:rPr>
          <w:rStyle w:val="Emphasis"/>
        </w:rPr>
        <w:t xml:space="preserve"> each round of grants in </w:t>
      </w:r>
      <w:r w:rsidR="00D75C3D" w:rsidRPr="0093295B">
        <w:rPr>
          <w:rStyle w:val="Emphasis"/>
        </w:rPr>
        <w:t>mid-</w:t>
      </w:r>
      <w:r w:rsidR="007352D0" w:rsidRPr="0093295B">
        <w:rPr>
          <w:rStyle w:val="Emphasis"/>
        </w:rPr>
        <w:t xml:space="preserve">2018. Because of this transition, </w:t>
      </w:r>
      <w:r w:rsidR="001A33A1" w:rsidRPr="0093295B">
        <w:rPr>
          <w:rStyle w:val="Emphasis"/>
        </w:rPr>
        <w:t xml:space="preserve">less grant projects ended in </w:t>
      </w:r>
      <w:r w:rsidR="00D75C3D" w:rsidRPr="0093295B">
        <w:rPr>
          <w:rStyle w:val="Emphasis"/>
        </w:rPr>
        <w:t xml:space="preserve">Calendar </w:t>
      </w:r>
      <w:r w:rsidR="001A33A1" w:rsidRPr="0093295B">
        <w:rPr>
          <w:rStyle w:val="Emphasis"/>
        </w:rPr>
        <w:t>2019</w:t>
      </w:r>
      <w:r w:rsidR="00D75C3D" w:rsidRPr="0093295B">
        <w:rPr>
          <w:rStyle w:val="Emphasis"/>
        </w:rPr>
        <w:t xml:space="preserve"> than in previous years</w:t>
      </w:r>
      <w:r w:rsidR="0093295B" w:rsidRPr="0093295B">
        <w:rPr>
          <w:rStyle w:val="Emphasis"/>
        </w:rPr>
        <w:t xml:space="preserve">, but report numbers should return to their normal rate in 2020. </w:t>
      </w:r>
      <w:r w:rsidR="00D75C3D" w:rsidRPr="0093295B">
        <w:rPr>
          <w:rStyle w:val="Emphasis"/>
        </w:rPr>
        <w:t xml:space="preserve"> </w:t>
      </w:r>
    </w:p>
    <w:p w14:paraId="362AD8DC" w14:textId="6E6824C0" w:rsidR="000A431F" w:rsidRDefault="00151155" w:rsidP="00151155">
      <w:pPr>
        <w:rPr>
          <w:rStyle w:val="Hyperlink"/>
        </w:rPr>
      </w:pPr>
      <w:r w:rsidRPr="00EA244B">
        <w:t>All grant projects</w:t>
      </w:r>
      <w:r w:rsidR="00813DD5" w:rsidRPr="00EA244B">
        <w:t>, along with a collection of their proposal</w:t>
      </w:r>
      <w:r w:rsidR="000D0DF8">
        <w:t>s</w:t>
      </w:r>
      <w:r w:rsidR="00813DD5" w:rsidRPr="00EA244B">
        <w:t xml:space="preserve">, syllabi, and Final Reports, </w:t>
      </w:r>
      <w:r w:rsidRPr="00EA244B">
        <w:t>are included in the List</w:t>
      </w:r>
      <w:r w:rsidR="000A431F" w:rsidRPr="00EA244B">
        <w:t>s</w:t>
      </w:r>
      <w:r w:rsidRPr="00EA244B">
        <w:t xml:space="preserve"> of Round</w:t>
      </w:r>
      <w:r w:rsidR="000A431F" w:rsidRPr="00EA244B">
        <w:t>s</w:t>
      </w:r>
      <w:r w:rsidR="000D0DF8">
        <w:t xml:space="preserve"> 12-14 Grantees: </w:t>
      </w:r>
      <w:r w:rsidR="00407431" w:rsidRPr="00EA244B">
        <w:br/>
      </w:r>
      <w:hyperlink r:id="rId12" w:history="1">
        <w:r w:rsidR="00C00FC2">
          <w:rPr>
            <w:rStyle w:val="Hyperlink"/>
          </w:rPr>
          <w:t xml:space="preserve">Round </w:t>
        </w:r>
        <w:r w:rsidR="00875066">
          <w:rPr>
            <w:rStyle w:val="Hyperlink"/>
          </w:rPr>
          <w:t>12</w:t>
        </w:r>
        <w:r w:rsidR="000A431F" w:rsidRPr="00EA244B">
          <w:rPr>
            <w:rStyle w:val="Hyperlink"/>
          </w:rPr>
          <w:t xml:space="preserve"> Grantees</w:t>
        </w:r>
      </w:hyperlink>
      <w:r w:rsidR="000A431F" w:rsidRPr="00EA244B">
        <w:rPr>
          <w:rStyle w:val="Hyperlink"/>
        </w:rPr>
        <w:br/>
      </w:r>
      <w:hyperlink r:id="rId13" w:history="1">
        <w:r w:rsidR="000A431F" w:rsidRPr="00EA244B">
          <w:rPr>
            <w:rStyle w:val="Hyperlink"/>
          </w:rPr>
          <w:t xml:space="preserve">Round </w:t>
        </w:r>
        <w:r w:rsidR="00875066">
          <w:rPr>
            <w:rStyle w:val="Hyperlink"/>
          </w:rPr>
          <w:t>13</w:t>
        </w:r>
        <w:r w:rsidR="000A431F" w:rsidRPr="00EA244B">
          <w:rPr>
            <w:rStyle w:val="Hyperlink"/>
          </w:rPr>
          <w:t xml:space="preserve"> Grantees</w:t>
        </w:r>
      </w:hyperlink>
      <w:r w:rsidR="00407431" w:rsidRPr="00EA244B">
        <w:t xml:space="preserve"> </w:t>
      </w:r>
      <w:r w:rsidR="000A431F" w:rsidRPr="00EA244B">
        <w:br/>
      </w:r>
      <w:hyperlink r:id="rId14" w:history="1">
        <w:r w:rsidR="00C00FC2">
          <w:rPr>
            <w:rStyle w:val="Hyperlink"/>
          </w:rPr>
          <w:t xml:space="preserve">Round </w:t>
        </w:r>
        <w:r w:rsidR="00875066">
          <w:rPr>
            <w:rStyle w:val="Hyperlink"/>
          </w:rPr>
          <w:t>14</w:t>
        </w:r>
        <w:r w:rsidR="000A431F" w:rsidRPr="00EA244B">
          <w:rPr>
            <w:rStyle w:val="Hyperlink"/>
          </w:rPr>
          <w:t xml:space="preserve"> Grantees</w:t>
        </w:r>
      </w:hyperlink>
    </w:p>
    <w:p w14:paraId="14B75E2D" w14:textId="5B5ECF50" w:rsidR="00C00FC2" w:rsidRPr="00C00FC2" w:rsidRDefault="00C00FC2" w:rsidP="40BF7736">
      <w:r>
        <w:t>The summary below addresses the perceptions and efficacy of OER and no-cost/low-cost implementations to students in Standard-Scale and Large-Scale Textbook Transformation Grants. Mini-</w:t>
      </w:r>
      <w:r w:rsidR="007F5ED3">
        <w:t>G</w:t>
      </w:r>
      <w:r>
        <w:t>rants</w:t>
      </w:r>
      <w:r w:rsidR="007F5ED3">
        <w:t xml:space="preserve"> for OER Revisions and Ancillary Materials Creation</w:t>
      </w:r>
      <w:r>
        <w:t xml:space="preserve"> are not included in this re</w:t>
      </w:r>
      <w:r w:rsidR="007F5ED3">
        <w:t>port, as the goal of the mini-grant program</w:t>
      </w:r>
      <w:r>
        <w:t xml:space="preserve"> is the creation and revision of open educational resources</w:t>
      </w:r>
      <w:r w:rsidR="1BE35CAB" w:rsidRPr="40BF7736">
        <w:rPr>
          <w:rFonts w:ascii="Calibri" w:eastAsia="Calibri" w:hAnsi="Calibri" w:cs="Calibri"/>
          <w:color w:val="222222"/>
          <w:sz w:val="24"/>
          <w:szCs w:val="24"/>
        </w:rPr>
        <w:t>—</w:t>
      </w:r>
      <w:r>
        <w:t xml:space="preserve">those results are visible in the </w:t>
      </w:r>
      <w:hyperlink r:id="rId15">
        <w:r w:rsidRPr="40BF7736">
          <w:rPr>
            <w:rStyle w:val="Hyperlink"/>
          </w:rPr>
          <w:t>GALILEO Open Learning Materials</w:t>
        </w:r>
      </w:hyperlink>
      <w:r>
        <w:t xml:space="preserve"> repository as well as the Mini-Grant Final Reports on each round’s webpage. </w:t>
      </w:r>
    </w:p>
    <w:p w14:paraId="3405A567" w14:textId="5F44142A" w:rsidR="00422582" w:rsidRDefault="002D663B" w:rsidP="40BF7736">
      <w:pPr>
        <w:spacing w:after="100" w:afterAutospacing="1"/>
      </w:pPr>
      <w:r>
        <w:t>As</w:t>
      </w:r>
      <w:r w:rsidRPr="40BF7736">
        <w:rPr>
          <w:color w:val="000000" w:themeColor="text1"/>
        </w:rPr>
        <w:t xml:space="preserve"> required </w:t>
      </w:r>
      <w:r w:rsidR="00B200B5" w:rsidRPr="40BF7736">
        <w:rPr>
          <w:color w:val="000000" w:themeColor="text1"/>
        </w:rPr>
        <w:t>for compliance</w:t>
      </w:r>
      <w:r w:rsidRPr="40BF7736">
        <w:rPr>
          <w:color w:val="000000" w:themeColor="text1"/>
        </w:rPr>
        <w:t xml:space="preserve">, all project teams submitted final reports </w:t>
      </w:r>
      <w:r w:rsidR="00407431" w:rsidRPr="40BF7736">
        <w:rPr>
          <w:color w:val="000000" w:themeColor="text1"/>
        </w:rPr>
        <w:t xml:space="preserve">at the end of their final semester, </w:t>
      </w:r>
      <w:r w:rsidR="76F469A7" w:rsidRPr="40BF7736">
        <w:rPr>
          <w:color w:val="000000" w:themeColor="text1"/>
        </w:rPr>
        <w:t xml:space="preserve">during which </w:t>
      </w:r>
      <w:r w:rsidR="00407431" w:rsidRPr="40BF7736">
        <w:rPr>
          <w:color w:val="000000" w:themeColor="text1"/>
        </w:rPr>
        <w:t>all implemented materials were taught within the course</w:t>
      </w:r>
      <w:r w:rsidRPr="40BF7736">
        <w:rPr>
          <w:color w:val="000000" w:themeColor="text1"/>
        </w:rPr>
        <w:t xml:space="preserve">. </w:t>
      </w:r>
      <w:r w:rsidR="00B200B5" w:rsidRPr="40BF7736">
        <w:rPr>
          <w:color w:val="000000" w:themeColor="text1"/>
        </w:rPr>
        <w:t>Final reports include</w:t>
      </w:r>
      <w:r w:rsidR="00B200B5">
        <w:t xml:space="preserve">d </w:t>
      </w:r>
      <w:r>
        <w:t>quotes</w:t>
      </w:r>
      <w:r w:rsidR="00B200B5">
        <w:t xml:space="preserve"> from students and professors, data on student performance, drop/fail/withdraw</w:t>
      </w:r>
      <w:r w:rsidR="41D9810E">
        <w:t>al</w:t>
      </w:r>
      <w:r w:rsidR="00B200B5">
        <w:t xml:space="preserve"> rates, and </w:t>
      </w:r>
      <w:r w:rsidR="00407431">
        <w:t>measures of student perceptions of course materials</w:t>
      </w:r>
      <w:r w:rsidR="00B200B5">
        <w:t>.</w:t>
      </w:r>
      <w:r w:rsidR="00407431">
        <w:t xml:space="preserve"> Including savings estimates, this data meets all four requirements of the Open Education Group’s</w:t>
      </w:r>
      <w:r w:rsidR="00CA294D">
        <w:t xml:space="preserve"> </w:t>
      </w:r>
      <w:hyperlink r:id="rId16">
        <w:r w:rsidR="00407431" w:rsidRPr="40BF7736">
          <w:rPr>
            <w:rStyle w:val="Hyperlink"/>
          </w:rPr>
          <w:t>COUP Framework</w:t>
        </w:r>
      </w:hyperlink>
      <w:r w:rsidR="00407431">
        <w:t>, measuring cost, outcomes, usage, and per</w:t>
      </w:r>
      <w:r w:rsidR="007F5ED3">
        <w:t>ceptions in each implementation.</w:t>
      </w:r>
    </w:p>
    <w:p w14:paraId="3BDF9D67" w14:textId="7E8E3CD9" w:rsidR="00CC0EB8" w:rsidRPr="00EA244B" w:rsidRDefault="00CC0EB8" w:rsidP="00CC0EB8">
      <w:pPr>
        <w:pStyle w:val="Heading1"/>
      </w:pPr>
      <w:bookmarkStart w:id="2" w:name="_Toc3807106"/>
      <w:r w:rsidRPr="00EA244B">
        <w:t>Savings</w:t>
      </w:r>
      <w:bookmarkEnd w:id="2"/>
    </w:p>
    <w:p w14:paraId="0CA6546F" w14:textId="51C682DF" w:rsidR="00CC0EB8" w:rsidRPr="00EA244B" w:rsidRDefault="00CC0EB8" w:rsidP="40BF7736">
      <w:r>
        <w:t>During the course of the projects, grant-supported courses were taught to 1</w:t>
      </w:r>
      <w:r w:rsidR="00A074ED">
        <w:t>2</w:t>
      </w:r>
      <w:r>
        <w:t>,</w:t>
      </w:r>
      <w:r w:rsidR="00A074ED">
        <w:t>179</w:t>
      </w:r>
      <w:r>
        <w:t xml:space="preserve"> students</w:t>
      </w:r>
      <w:r w:rsidR="29B945AD">
        <w:t>,</w:t>
      </w:r>
      <w:r>
        <w:t xml:space="preserve"> and</w:t>
      </w:r>
      <w:r w:rsidR="36F592A2">
        <w:t xml:space="preserve"> projects</w:t>
      </w:r>
      <w:r>
        <w:t xml:space="preserve"> saved these students an estimated $</w:t>
      </w:r>
      <w:r w:rsidR="007F5ED3">
        <w:t>1</w:t>
      </w:r>
      <w:r>
        <w:t>,</w:t>
      </w:r>
      <w:r w:rsidR="00FC19B1">
        <w:t>492,385</w:t>
      </w:r>
      <w:r>
        <w:t xml:space="preserve"> in student textbook costs in relation to their commercial equivalent</w:t>
      </w:r>
      <w:r w:rsidR="5F472C70" w:rsidRPr="40BF7736">
        <w:rPr>
          <w:rFonts w:ascii="Calibri" w:eastAsia="Calibri" w:hAnsi="Calibri" w:cs="Calibri"/>
          <w:color w:val="222222"/>
          <w:sz w:val="24"/>
          <w:szCs w:val="24"/>
        </w:rPr>
        <w:t>—</w:t>
      </w:r>
      <w:r>
        <w:t xml:space="preserve">the purchase of a new commercial textbook as previously required within the course.  </w:t>
      </w:r>
    </w:p>
    <w:p w14:paraId="11B450E5" w14:textId="3DAA2D9E" w:rsidR="00384C54" w:rsidRDefault="00CC0EB8">
      <w:pPr>
        <w:rPr>
          <w:szCs w:val="24"/>
        </w:rPr>
      </w:pPr>
      <w:r w:rsidRPr="00EA244B">
        <w:rPr>
          <w:szCs w:val="24"/>
        </w:rPr>
        <w:t>With nearly all teams indicating that these materials or other affordable materials will be used in future semesters, a high sustainability of these student savings is anticipated over at least the next academi</w:t>
      </w:r>
      <w:r w:rsidR="00FE08C4">
        <w:rPr>
          <w:szCs w:val="24"/>
        </w:rPr>
        <w:t>c year</w:t>
      </w:r>
      <w:r w:rsidRPr="00EA244B">
        <w:rPr>
          <w:szCs w:val="24"/>
        </w:rPr>
        <w:t xml:space="preserve">.  </w:t>
      </w:r>
      <w:r w:rsidR="00384C54">
        <w:rPr>
          <w:szCs w:val="24"/>
        </w:rPr>
        <w:br w:type="page"/>
      </w:r>
    </w:p>
    <w:p w14:paraId="5BD5A90E" w14:textId="55C36340" w:rsidR="004C4128" w:rsidRPr="00EA244B" w:rsidRDefault="008605BE" w:rsidP="00BD5BE3">
      <w:pPr>
        <w:pStyle w:val="Heading1"/>
      </w:pPr>
      <w:bookmarkStart w:id="3" w:name="_Analysis_Challenges_and"/>
      <w:bookmarkStart w:id="4" w:name="_Grantee_Experiences"/>
      <w:bookmarkStart w:id="5" w:name="_Toc3807107"/>
      <w:bookmarkEnd w:id="3"/>
      <w:bookmarkEnd w:id="4"/>
      <w:r w:rsidRPr="00EA244B">
        <w:lastRenderedPageBreak/>
        <w:t xml:space="preserve">Grantee </w:t>
      </w:r>
      <w:r w:rsidR="002E7CF2" w:rsidRPr="00EA244B">
        <w:t>Experiences</w:t>
      </w:r>
      <w:bookmarkEnd w:id="5"/>
    </w:p>
    <w:p w14:paraId="243C91C4" w14:textId="54AA12E8" w:rsidR="00C76519" w:rsidRDefault="00D95BF8" w:rsidP="00C970CA">
      <w:r w:rsidRPr="00EA244B">
        <w:t>R</w:t>
      </w:r>
      <w:r w:rsidR="00FE08C4">
        <w:t>eporting</w:t>
      </w:r>
      <w:r w:rsidR="004C4128" w:rsidRPr="00EA244B">
        <w:t xml:space="preserve"> </w:t>
      </w:r>
      <w:r w:rsidR="00BE1148" w:rsidRPr="00EA244B">
        <w:t xml:space="preserve">project </w:t>
      </w:r>
      <w:r w:rsidR="004D10DB" w:rsidRPr="00EA244B">
        <w:t xml:space="preserve">teams had </w:t>
      </w:r>
      <w:r w:rsidR="007F5ED3">
        <w:t>p</w:t>
      </w:r>
      <w:r w:rsidR="00C970CA" w:rsidRPr="00EA244B">
        <w:t>ositive experience</w:t>
      </w:r>
      <w:r w:rsidR="004D10DB" w:rsidRPr="00EA244B">
        <w:t>s</w:t>
      </w:r>
      <w:r w:rsidR="00C970CA" w:rsidRPr="00EA244B">
        <w:t xml:space="preserve"> </w:t>
      </w:r>
      <w:r w:rsidR="007F5ED3">
        <w:t xml:space="preserve">overall </w:t>
      </w:r>
      <w:r w:rsidR="00C970CA" w:rsidRPr="00EA244B">
        <w:t>in implementation process</w:t>
      </w:r>
      <w:r w:rsidR="004D10DB" w:rsidRPr="00EA244B">
        <w:t>es</w:t>
      </w:r>
      <w:r w:rsidR="00C970CA" w:rsidRPr="00EA244B">
        <w:t xml:space="preserve"> and teaching with affordable materials</w:t>
      </w:r>
      <w:r w:rsidR="004D10DB" w:rsidRPr="00EA244B">
        <w:t xml:space="preserve">. </w:t>
      </w:r>
      <w:r w:rsidR="007F5ED3">
        <w:t>All r</w:t>
      </w:r>
      <w:r w:rsidRPr="00EA244B">
        <w:t>eporting</w:t>
      </w:r>
      <w:r w:rsidR="004D10DB" w:rsidRPr="00EA244B">
        <w:t xml:space="preserve"> </w:t>
      </w:r>
      <w:r w:rsidR="00C970CA" w:rsidRPr="00EA244B">
        <w:t xml:space="preserve">teams </w:t>
      </w:r>
      <w:r w:rsidR="004D10DB" w:rsidRPr="00EA244B">
        <w:t xml:space="preserve">are </w:t>
      </w:r>
      <w:r w:rsidR="00C970CA" w:rsidRPr="00EA244B">
        <w:t xml:space="preserve">planning to use </w:t>
      </w:r>
      <w:r w:rsidR="00C76519">
        <w:t xml:space="preserve">the same or new/revised </w:t>
      </w:r>
      <w:r w:rsidR="00C970CA" w:rsidRPr="00EA244B">
        <w:t xml:space="preserve">affordable </w:t>
      </w:r>
      <w:r w:rsidR="004D10DB" w:rsidRPr="00EA244B">
        <w:t>materials in the future, as</w:t>
      </w:r>
      <w:r w:rsidR="00C970CA" w:rsidRPr="00EA244B">
        <w:t xml:space="preserve"> indicated in the Sustainability Plan or Future Plans sections of the final reports. </w:t>
      </w:r>
    </w:p>
    <w:p w14:paraId="70E3D974" w14:textId="63265571" w:rsidR="060F1D81" w:rsidRDefault="00625EF6" w:rsidP="008A5500">
      <w:r>
        <w:t xml:space="preserve">These final reports continue to support the idea that grants for OER and alternative low-cost material adoption activities are valuable tools in building sustainable low-cost learning materials practices among faculty.  </w:t>
      </w:r>
    </w:p>
    <w:p w14:paraId="50A8BA13" w14:textId="1B6B3343" w:rsidR="00980EF6" w:rsidRDefault="00980EF6" w:rsidP="00E003F3">
      <w:pPr>
        <w:pStyle w:val="Quote"/>
      </w:pPr>
      <w:r w:rsidRPr="00980EF6">
        <w:t>"We enjoyed the experience of collaborative work and we were also able to participate in the professional development of new teaching pedagogy and best practices." – Dr. Shreyas Desai, Atlanta Metropolitan State College</w:t>
      </w:r>
    </w:p>
    <w:p w14:paraId="53FDC4BD" w14:textId="77777777" w:rsidR="00CB3074" w:rsidRDefault="00CB3074" w:rsidP="008A5500"/>
    <w:p w14:paraId="49210DD9" w14:textId="49717747" w:rsidR="00D71FB6" w:rsidRDefault="00C76519" w:rsidP="00516214">
      <w:r>
        <w:rPr>
          <w:noProof/>
        </w:rPr>
        <w:t>M</w:t>
      </w:r>
      <w:r w:rsidR="00497C1A">
        <w:rPr>
          <w:noProof/>
        </w:rPr>
        <w:t>any</w:t>
      </w:r>
      <w:r w:rsidR="00D95BF8" w:rsidRPr="00EA244B">
        <w:rPr>
          <w:noProof/>
        </w:rPr>
        <w:t xml:space="preserve"> t</w:t>
      </w:r>
      <w:r w:rsidR="007B5E7E" w:rsidRPr="00EA244B">
        <w:rPr>
          <w:noProof/>
        </w:rPr>
        <w:t>eams saw the grant project experience as enhancing their teaching and learning skills and pedagogy</w:t>
      </w:r>
      <w:r w:rsidR="00AF260A" w:rsidRPr="00EA244B">
        <w:rPr>
          <w:noProof/>
        </w:rPr>
        <w:t>.</w:t>
      </w:r>
      <w:r w:rsidR="007B5E7E" w:rsidRPr="00EA244B">
        <w:rPr>
          <w:noProof/>
        </w:rPr>
        <w:t xml:space="preserve"> </w:t>
      </w:r>
      <w:r>
        <w:rPr>
          <w:noProof/>
        </w:rPr>
        <w:t>Project Leads indicated in reports that the activity of redesigning their courses with affordable resources</w:t>
      </w:r>
      <w:r w:rsidR="00D95BF8" w:rsidRPr="00EA244B">
        <w:rPr>
          <w:noProof/>
        </w:rPr>
        <w:t xml:space="preserve"> enhanced their teaching and learning experience</w:t>
      </w:r>
      <w:r>
        <w:rPr>
          <w:noProof/>
        </w:rPr>
        <w:t>s</w:t>
      </w:r>
      <w:r w:rsidR="007B5E7E" w:rsidRPr="00EA244B">
        <w:rPr>
          <w:noProof/>
        </w:rPr>
        <w:t xml:space="preserve">. </w:t>
      </w:r>
      <w:r w:rsidR="00825FFA" w:rsidRPr="00EA244B">
        <w:t>These experiences have led to the current or future production of scholarship around implementing affordable materials in the classroom.</w:t>
      </w:r>
    </w:p>
    <w:p w14:paraId="20F9B8DC" w14:textId="43863FFD" w:rsidR="00CB3074" w:rsidRDefault="00CB3074" w:rsidP="00E003F3">
      <w:pPr>
        <w:pStyle w:val="Quote"/>
      </w:pPr>
      <w:r>
        <w:t>" Importantly, the fact that the courses were redesigned with the OERs in mind meant that most instructors redesigned their classes in meaningful ways as opposed to simply substituting one reading for another." – Dr. Rebecca Gerdes-McClain, Columbus State University</w:t>
      </w:r>
    </w:p>
    <w:p w14:paraId="2D301EEE" w14:textId="5E292A56" w:rsidR="004774AD" w:rsidRDefault="00C265B9" w:rsidP="00516214">
      <w:r w:rsidRPr="00EA244B">
        <w:t xml:space="preserve"> </w:t>
      </w:r>
      <w:r w:rsidR="004774AD">
        <w:br w:type="page"/>
      </w:r>
    </w:p>
    <w:p w14:paraId="7815A23B" w14:textId="6C96F26A" w:rsidR="002E7CF2" w:rsidRPr="00EA244B" w:rsidRDefault="002E61B5" w:rsidP="00BD5BE3">
      <w:pPr>
        <w:pStyle w:val="Heading1"/>
      </w:pPr>
      <w:bookmarkStart w:id="6" w:name="_Savings"/>
      <w:bookmarkStart w:id="7" w:name="_Student_Satisfaction"/>
      <w:bookmarkStart w:id="8" w:name="_Toc3807108"/>
      <w:bookmarkEnd w:id="6"/>
      <w:bookmarkEnd w:id="7"/>
      <w:r w:rsidRPr="00EA244B">
        <w:lastRenderedPageBreak/>
        <w:t>S</w:t>
      </w:r>
      <w:r w:rsidR="002E7CF2" w:rsidRPr="00EA244B">
        <w:t>tudent Satisfaction</w:t>
      </w:r>
      <w:bookmarkEnd w:id="8"/>
    </w:p>
    <w:p w14:paraId="32530127" w14:textId="7F59FF2B" w:rsidR="004774AD" w:rsidRDefault="00E832CD" w:rsidP="00D96F13">
      <w:pPr>
        <w:rPr>
          <w:noProof/>
        </w:rPr>
      </w:pPr>
      <w:r w:rsidRPr="00EA244B">
        <w:rPr>
          <w:szCs w:val="24"/>
        </w:rPr>
        <w:t xml:space="preserve">Teams reported that </w:t>
      </w:r>
      <w:r w:rsidR="004F3922" w:rsidRPr="00EA244B">
        <w:rPr>
          <w:szCs w:val="24"/>
        </w:rPr>
        <w:t>students were highly satisfied with the affordability and ease of access with open textbooks and affordable materials</w:t>
      </w:r>
      <w:r w:rsidR="00C6298E" w:rsidRPr="00EA244B">
        <w:rPr>
          <w:szCs w:val="24"/>
        </w:rPr>
        <w:t>, with</w:t>
      </w:r>
      <w:r w:rsidR="007D10B0">
        <w:rPr>
          <w:szCs w:val="24"/>
        </w:rPr>
        <w:t xml:space="preserve"> </w:t>
      </w:r>
      <w:r w:rsidR="005B5CF8">
        <w:rPr>
          <w:szCs w:val="24"/>
        </w:rPr>
        <w:t>18</w:t>
      </w:r>
      <w:r w:rsidR="00AB5F25">
        <w:rPr>
          <w:szCs w:val="24"/>
        </w:rPr>
        <w:t xml:space="preserve"> out of </w:t>
      </w:r>
      <w:r w:rsidR="005B5CF8">
        <w:rPr>
          <w:szCs w:val="24"/>
        </w:rPr>
        <w:t>22</w:t>
      </w:r>
      <w:r w:rsidR="00AB5F25">
        <w:rPr>
          <w:szCs w:val="24"/>
        </w:rPr>
        <w:t xml:space="preserve"> teams </w:t>
      </w:r>
      <w:r w:rsidR="005B5CF8">
        <w:rPr>
          <w:szCs w:val="24"/>
        </w:rPr>
        <w:t xml:space="preserve">with these measures </w:t>
      </w:r>
      <w:r w:rsidR="00AB5F25">
        <w:rPr>
          <w:szCs w:val="24"/>
        </w:rPr>
        <w:t>(</w:t>
      </w:r>
      <w:r w:rsidR="005B5CF8">
        <w:rPr>
          <w:szCs w:val="24"/>
        </w:rPr>
        <w:t>81.82%)</w:t>
      </w:r>
      <w:r w:rsidR="00C73D84" w:rsidRPr="00EA244B">
        <w:rPr>
          <w:szCs w:val="24"/>
        </w:rPr>
        <w:t xml:space="preserve"> </w:t>
      </w:r>
      <w:r w:rsidR="00452380" w:rsidRPr="00EA244B">
        <w:rPr>
          <w:szCs w:val="24"/>
        </w:rPr>
        <w:t>reporting students</w:t>
      </w:r>
      <w:r w:rsidR="00C6298E" w:rsidRPr="00EA244B">
        <w:rPr>
          <w:szCs w:val="24"/>
        </w:rPr>
        <w:t xml:space="preserve"> having a</w:t>
      </w:r>
      <w:r w:rsidR="00452380" w:rsidRPr="00EA244B">
        <w:rPr>
          <w:szCs w:val="24"/>
        </w:rPr>
        <w:t>n overall</w:t>
      </w:r>
      <w:r w:rsidR="00C6298E" w:rsidRPr="00EA244B">
        <w:rPr>
          <w:szCs w:val="24"/>
        </w:rPr>
        <w:t xml:space="preserve"> positive </w:t>
      </w:r>
      <w:r w:rsidR="00452380" w:rsidRPr="00EA244B">
        <w:rPr>
          <w:szCs w:val="24"/>
        </w:rPr>
        <w:t>perc</w:t>
      </w:r>
      <w:r w:rsidR="00C6298E" w:rsidRPr="00EA244B">
        <w:rPr>
          <w:szCs w:val="24"/>
        </w:rPr>
        <w:t>eption of the</w:t>
      </w:r>
      <w:r w:rsidR="00452380" w:rsidRPr="00EA244B">
        <w:rPr>
          <w:szCs w:val="24"/>
        </w:rPr>
        <w:t xml:space="preserve"> new</w:t>
      </w:r>
      <w:r w:rsidR="00C6298E" w:rsidRPr="00EA244B">
        <w:rPr>
          <w:szCs w:val="24"/>
        </w:rPr>
        <w:t xml:space="preserve"> resources in comparison to a traditional commercial textbook.</w:t>
      </w:r>
      <w:r w:rsidRPr="00EA244B">
        <w:rPr>
          <w:noProof/>
        </w:rPr>
        <w:t xml:space="preserve"> </w:t>
      </w:r>
    </w:p>
    <w:p w14:paraId="3A9F089C" w14:textId="3E28D27D" w:rsidR="00E10AEB" w:rsidRDefault="00E10AEB" w:rsidP="00E003F3">
      <w:pPr>
        <w:pStyle w:val="Quote"/>
        <w:rPr>
          <w:noProof/>
        </w:rPr>
      </w:pPr>
      <w:r w:rsidRPr="00E10AEB">
        <w:rPr>
          <w:noProof/>
        </w:rPr>
        <w:t>"I enjoyed always having access to a free lab manual rather than having to save up money to purchase a lab manual I would only use for one or two classes." – Student of Dr. Sue Mastrario, Abraham Baldwin Agricultural College</w:t>
      </w:r>
    </w:p>
    <w:p w14:paraId="53EE3711" w14:textId="59D5B52B" w:rsidR="00E832CD" w:rsidRDefault="00E832CD" w:rsidP="007D10B0">
      <w:pPr>
        <w:rPr>
          <w:noProof/>
        </w:rPr>
      </w:pPr>
    </w:p>
    <w:p w14:paraId="502C1F09" w14:textId="6A44FECE" w:rsidR="00E10AEB" w:rsidRDefault="00E10AEB" w:rsidP="00AB5F25">
      <w:pPr>
        <w:rPr>
          <w:noProof/>
        </w:rPr>
      </w:pPr>
    </w:p>
    <w:p w14:paraId="73F0202A" w14:textId="7D4F20E7" w:rsidR="00F4280B" w:rsidRDefault="00F4280B" w:rsidP="00E003F3">
      <w:pPr>
        <w:ind w:left="-1440" w:right="-1440"/>
        <w:jc w:val="center"/>
        <w:rPr>
          <w:noProof/>
        </w:rPr>
      </w:pPr>
      <w:bookmarkStart w:id="9" w:name="_GoBack"/>
      <w:r>
        <w:rPr>
          <w:noProof/>
        </w:rPr>
        <w:drawing>
          <wp:inline distT="0" distB="0" distL="0" distR="0" wp14:anchorId="5FAE477C" wp14:editId="61E1FB76">
            <wp:extent cx="6766560" cy="4145280"/>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9"/>
    </w:p>
    <w:p w14:paraId="02AD1B67" w14:textId="3708893D" w:rsidR="00AB5F25" w:rsidRDefault="00AB5F25" w:rsidP="00AB5F25">
      <w:pPr>
        <w:rPr>
          <w:noProof/>
        </w:rPr>
      </w:pPr>
    </w:p>
    <w:p w14:paraId="3B998B50" w14:textId="791917BF" w:rsidR="004774AD" w:rsidRDefault="004774AD" w:rsidP="007D10B0">
      <w:pPr>
        <w:rPr>
          <w:noProof/>
        </w:rPr>
      </w:pPr>
      <w:r>
        <w:rPr>
          <w:noProof/>
        </w:rPr>
        <w:br w:type="page"/>
      </w:r>
    </w:p>
    <w:p w14:paraId="20FBC7ED" w14:textId="425125D1" w:rsidR="00A16087" w:rsidRPr="00EA244B" w:rsidRDefault="00A16087" w:rsidP="00C73D84">
      <w:pPr>
        <w:pStyle w:val="Heading1"/>
      </w:pPr>
      <w:bookmarkStart w:id="10" w:name="_Toc3807109"/>
      <w:r w:rsidRPr="00EA244B">
        <w:lastRenderedPageBreak/>
        <w:t>Student Learning Outcomes</w:t>
      </w:r>
      <w:bookmarkEnd w:id="10"/>
    </w:p>
    <w:p w14:paraId="2D070B1D" w14:textId="70D0C200" w:rsidR="004774AD" w:rsidRDefault="00A44888" w:rsidP="00E5726C">
      <w:pPr>
        <w:rPr>
          <w:szCs w:val="24"/>
        </w:rPr>
      </w:pPr>
      <w:r>
        <w:rPr>
          <w:szCs w:val="24"/>
        </w:rPr>
        <w:t>11</w:t>
      </w:r>
      <w:r w:rsidR="00C67DFF">
        <w:rPr>
          <w:szCs w:val="24"/>
        </w:rPr>
        <w:t xml:space="preserve"> of </w:t>
      </w:r>
      <w:r w:rsidR="00E34AE9">
        <w:rPr>
          <w:szCs w:val="24"/>
        </w:rPr>
        <w:t>21</w:t>
      </w:r>
      <w:r w:rsidR="00C67DFF">
        <w:rPr>
          <w:szCs w:val="24"/>
        </w:rPr>
        <w:t xml:space="preserve"> (</w:t>
      </w:r>
      <w:r w:rsidR="00E34AE9">
        <w:rPr>
          <w:szCs w:val="24"/>
        </w:rPr>
        <w:t>52.38</w:t>
      </w:r>
      <w:r w:rsidR="00C67DFF">
        <w:rPr>
          <w:szCs w:val="24"/>
        </w:rPr>
        <w:t>%) teams</w:t>
      </w:r>
      <w:r w:rsidR="00E34AE9">
        <w:rPr>
          <w:szCs w:val="24"/>
        </w:rPr>
        <w:t xml:space="preserve"> with learning outcomes measures</w:t>
      </w:r>
      <w:r w:rsidR="000D2EE2" w:rsidRPr="00EA244B">
        <w:rPr>
          <w:szCs w:val="24"/>
        </w:rPr>
        <w:t xml:space="preserve"> reported</w:t>
      </w:r>
      <w:r w:rsidR="00724DEF" w:rsidRPr="00EA244B">
        <w:rPr>
          <w:szCs w:val="24"/>
        </w:rPr>
        <w:t xml:space="preserve"> </w:t>
      </w:r>
      <w:r w:rsidR="000D2EE2" w:rsidRPr="00EA244B">
        <w:rPr>
          <w:szCs w:val="24"/>
        </w:rPr>
        <w:t xml:space="preserve">positive </w:t>
      </w:r>
      <w:r w:rsidR="00724DEF" w:rsidRPr="00EA244B">
        <w:rPr>
          <w:szCs w:val="24"/>
        </w:rPr>
        <w:t>significant changes to student</w:t>
      </w:r>
      <w:r w:rsidR="007E32CC">
        <w:rPr>
          <w:szCs w:val="24"/>
        </w:rPr>
        <w:t xml:space="preserve"> achievement of</w:t>
      </w:r>
      <w:r w:rsidR="00724DEF" w:rsidRPr="00EA244B">
        <w:rPr>
          <w:szCs w:val="24"/>
        </w:rPr>
        <w:t xml:space="preserve"> </w:t>
      </w:r>
      <w:r w:rsidR="0094117B" w:rsidRPr="00EA244B">
        <w:rPr>
          <w:szCs w:val="24"/>
        </w:rPr>
        <w:t>learning</w:t>
      </w:r>
      <w:r w:rsidR="00724DEF" w:rsidRPr="00EA244B">
        <w:rPr>
          <w:szCs w:val="24"/>
        </w:rPr>
        <w:t xml:space="preserve"> outcomes in comparison to control groups, previous semesters, faculty averages</w:t>
      </w:r>
      <w:r w:rsidR="000D2EE2" w:rsidRPr="00EA244B">
        <w:rPr>
          <w:szCs w:val="24"/>
        </w:rPr>
        <w:t xml:space="preserve">, and/or departmental averages, while </w:t>
      </w:r>
      <w:r w:rsidR="007A721C">
        <w:rPr>
          <w:szCs w:val="24"/>
        </w:rPr>
        <w:t>7</w:t>
      </w:r>
      <w:r w:rsidR="00C73D84" w:rsidRPr="00EA244B">
        <w:rPr>
          <w:szCs w:val="24"/>
        </w:rPr>
        <w:t xml:space="preserve"> teams (</w:t>
      </w:r>
      <w:r w:rsidR="00C67DFF">
        <w:rPr>
          <w:szCs w:val="24"/>
        </w:rPr>
        <w:t>3</w:t>
      </w:r>
      <w:r w:rsidR="007A721C">
        <w:rPr>
          <w:szCs w:val="24"/>
        </w:rPr>
        <w:t>3.33</w:t>
      </w:r>
      <w:r w:rsidR="00C73D84" w:rsidRPr="00EA244B">
        <w:rPr>
          <w:szCs w:val="24"/>
        </w:rPr>
        <w:t>%)</w:t>
      </w:r>
      <w:r w:rsidR="000D2EE2" w:rsidRPr="00EA244B">
        <w:rPr>
          <w:szCs w:val="24"/>
        </w:rPr>
        <w:t xml:space="preserve"> saw no significant changes to outcomes. This is a </w:t>
      </w:r>
      <w:r w:rsidR="00C67DFF">
        <w:rPr>
          <w:szCs w:val="24"/>
        </w:rPr>
        <w:t xml:space="preserve">combined </w:t>
      </w:r>
      <w:r w:rsidR="00296D0B">
        <w:rPr>
          <w:szCs w:val="24"/>
        </w:rPr>
        <w:t>85</w:t>
      </w:r>
      <w:r w:rsidR="000D2EE2" w:rsidRPr="00EA244B">
        <w:rPr>
          <w:szCs w:val="24"/>
        </w:rPr>
        <w:t>% of teams who experienced either a significantly positive or neutral effect on learning outcomes w</w:t>
      </w:r>
      <w:r w:rsidR="00C73D84" w:rsidRPr="00EA244B">
        <w:rPr>
          <w:szCs w:val="24"/>
        </w:rPr>
        <w:t xml:space="preserve">hile using </w:t>
      </w:r>
      <w:r w:rsidR="00552848">
        <w:rPr>
          <w:szCs w:val="24"/>
        </w:rPr>
        <w:t xml:space="preserve">free and/or </w:t>
      </w:r>
      <w:r w:rsidR="00C73D84" w:rsidRPr="00EA244B">
        <w:rPr>
          <w:szCs w:val="24"/>
        </w:rPr>
        <w:t xml:space="preserve">affordable materials. </w:t>
      </w:r>
      <w:r w:rsidR="000D2EE2" w:rsidRPr="00EA244B">
        <w:rPr>
          <w:szCs w:val="24"/>
        </w:rPr>
        <w:t xml:space="preserve"> </w:t>
      </w:r>
    </w:p>
    <w:p w14:paraId="13AF7ACE" w14:textId="3410CA5F" w:rsidR="00EB70FD" w:rsidRDefault="00EB70FD" w:rsidP="00E003F3">
      <w:pPr>
        <w:pStyle w:val="Quote"/>
      </w:pPr>
      <w:r w:rsidRPr="00EB70FD">
        <w:t>"The no cost textbooks are just as good as traditional textbooks, if not better." -Student of Dr. Brett Larson, East Georgia State College</w:t>
      </w:r>
    </w:p>
    <w:p w14:paraId="6D48FC31" w14:textId="77777777" w:rsidR="00EB70FD" w:rsidRPr="00EA244B" w:rsidRDefault="00EB70FD" w:rsidP="00E5726C">
      <w:pPr>
        <w:rPr>
          <w:noProof/>
        </w:rPr>
      </w:pPr>
    </w:p>
    <w:p w14:paraId="3CA6B6D2" w14:textId="26432115" w:rsidR="00EC0A92" w:rsidRDefault="00EB70FD" w:rsidP="00E003F3">
      <w:pPr>
        <w:ind w:left="-1440" w:right="-1440"/>
        <w:jc w:val="center"/>
        <w:rPr>
          <w:szCs w:val="24"/>
        </w:rPr>
      </w:pPr>
      <w:r>
        <w:rPr>
          <w:noProof/>
          <w:szCs w:val="24"/>
        </w:rPr>
        <w:drawing>
          <wp:inline distT="0" distB="0" distL="0" distR="0" wp14:anchorId="7858E11E" wp14:editId="75CE2510">
            <wp:extent cx="6431280" cy="4617720"/>
            <wp:effectExtent l="0" t="0" r="762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AD93AF" w14:textId="2B07A041" w:rsidR="00AF37B8" w:rsidRDefault="00AF37B8" w:rsidP="007D10B0">
      <w:pPr>
        <w:rPr>
          <w:szCs w:val="24"/>
        </w:rPr>
      </w:pPr>
    </w:p>
    <w:p w14:paraId="39457B42" w14:textId="59F971B2" w:rsidR="004774AD" w:rsidRDefault="00CD08B1" w:rsidP="004F3922">
      <w:pPr>
        <w:rPr>
          <w:szCs w:val="24"/>
        </w:rPr>
      </w:pPr>
      <w:r>
        <w:rPr>
          <w:szCs w:val="24"/>
        </w:rPr>
        <w:t>As with previous rounds, r</w:t>
      </w:r>
      <w:r w:rsidR="00C73D84" w:rsidRPr="00EA244B">
        <w:rPr>
          <w:szCs w:val="24"/>
        </w:rPr>
        <w:t xml:space="preserve">epeat student results are not always one-to-one </w:t>
      </w:r>
      <w:r w:rsidR="00905AB2">
        <w:rPr>
          <w:szCs w:val="24"/>
        </w:rPr>
        <w:t>compar</w:t>
      </w:r>
      <w:r w:rsidR="00C73D84" w:rsidRPr="00EA244B">
        <w:rPr>
          <w:szCs w:val="24"/>
        </w:rPr>
        <w:t xml:space="preserve">able with students in the first semester of implementation of the new materials, and some teams </w:t>
      </w:r>
      <w:r>
        <w:rPr>
          <w:szCs w:val="24"/>
        </w:rPr>
        <w:t>experienced a change in the s</w:t>
      </w:r>
      <w:r w:rsidR="00C73D84" w:rsidRPr="00EA244B">
        <w:rPr>
          <w:szCs w:val="24"/>
        </w:rPr>
        <w:t xml:space="preserve">tudents </w:t>
      </w:r>
      <w:r>
        <w:rPr>
          <w:szCs w:val="24"/>
        </w:rPr>
        <w:t xml:space="preserve">or instructors </w:t>
      </w:r>
      <w:r w:rsidR="00C73D84" w:rsidRPr="00EA244B">
        <w:rPr>
          <w:szCs w:val="24"/>
        </w:rPr>
        <w:t xml:space="preserve">within the course. </w:t>
      </w:r>
      <w:r w:rsidR="004774AD">
        <w:rPr>
          <w:szCs w:val="24"/>
        </w:rPr>
        <w:br w:type="page"/>
      </w:r>
    </w:p>
    <w:p w14:paraId="0630A964" w14:textId="64F05618" w:rsidR="00A16087" w:rsidRPr="00EA244B" w:rsidRDefault="00C67DFF" w:rsidP="00C73D84">
      <w:pPr>
        <w:pStyle w:val="Heading1"/>
      </w:pPr>
      <w:bookmarkStart w:id="11" w:name="_Drop/Fail/Withdraw_(DFW)_Delta"/>
      <w:bookmarkStart w:id="12" w:name="_Toc3807110"/>
      <w:bookmarkEnd w:id="11"/>
      <w:r>
        <w:lastRenderedPageBreak/>
        <w:t>Course-Level Retention</w:t>
      </w:r>
      <w:bookmarkEnd w:id="12"/>
    </w:p>
    <w:p w14:paraId="1ABDA608" w14:textId="1E376AF1" w:rsidR="002949F5" w:rsidRDefault="002949F5" w:rsidP="002949F5">
      <w:pPr>
        <w:rPr>
          <w:szCs w:val="24"/>
        </w:rPr>
      </w:pPr>
      <w:r w:rsidRPr="00EA244B">
        <w:rPr>
          <w:szCs w:val="24"/>
        </w:rPr>
        <w:t>Along with learning outcomes, a standard measure of student retention and progression is the combined rate of course drops, failures, and withdrawals, or DFW delta rates</w:t>
      </w:r>
      <w:r w:rsidR="002E7869">
        <w:rPr>
          <w:szCs w:val="24"/>
        </w:rPr>
        <w:t>, with some variations depending on the institution (such as Grade D / Grade F / Withdrawal rates)</w:t>
      </w:r>
      <w:r w:rsidRPr="00EA244B">
        <w:rPr>
          <w:szCs w:val="24"/>
        </w:rPr>
        <w:t xml:space="preserve">. </w:t>
      </w:r>
      <w:r w:rsidR="00832BF4">
        <w:rPr>
          <w:szCs w:val="24"/>
        </w:rPr>
        <w:t>13</w:t>
      </w:r>
      <w:r w:rsidR="00CD08B1">
        <w:rPr>
          <w:szCs w:val="24"/>
        </w:rPr>
        <w:t xml:space="preserve"> teams (</w:t>
      </w:r>
      <w:r w:rsidR="00832BF4">
        <w:rPr>
          <w:szCs w:val="24"/>
        </w:rPr>
        <w:t>61.9</w:t>
      </w:r>
      <w:r w:rsidRPr="00EA244B">
        <w:rPr>
          <w:szCs w:val="24"/>
        </w:rPr>
        <w:t>%</w:t>
      </w:r>
      <w:r w:rsidR="00CD08B1">
        <w:rPr>
          <w:szCs w:val="24"/>
        </w:rPr>
        <w:t>)</w:t>
      </w:r>
      <w:r w:rsidRPr="00EA244B">
        <w:rPr>
          <w:szCs w:val="24"/>
        </w:rPr>
        <w:t xml:space="preserve"> repor</w:t>
      </w:r>
      <w:r w:rsidR="00DF1001" w:rsidRPr="00EA244B">
        <w:rPr>
          <w:szCs w:val="24"/>
        </w:rPr>
        <w:t>ted</w:t>
      </w:r>
      <w:r w:rsidR="00CD08B1">
        <w:rPr>
          <w:szCs w:val="24"/>
        </w:rPr>
        <w:t xml:space="preserve"> </w:t>
      </w:r>
      <w:r w:rsidR="002E7869">
        <w:rPr>
          <w:szCs w:val="24"/>
        </w:rPr>
        <w:t xml:space="preserve">positive significant changes, </w:t>
      </w:r>
      <w:r w:rsidR="00832BF4">
        <w:rPr>
          <w:szCs w:val="24"/>
        </w:rPr>
        <w:t>5</w:t>
      </w:r>
      <w:r w:rsidR="002E7869">
        <w:rPr>
          <w:szCs w:val="24"/>
        </w:rPr>
        <w:t xml:space="preserve"> teams (</w:t>
      </w:r>
      <w:r w:rsidR="00832BF4">
        <w:rPr>
          <w:szCs w:val="24"/>
        </w:rPr>
        <w:t>23.81</w:t>
      </w:r>
      <w:r w:rsidR="00CD08B1">
        <w:rPr>
          <w:szCs w:val="24"/>
        </w:rPr>
        <w:t xml:space="preserve">%) </w:t>
      </w:r>
      <w:r w:rsidR="00DF1001" w:rsidRPr="00EA244B">
        <w:rPr>
          <w:szCs w:val="24"/>
        </w:rPr>
        <w:t>reported</w:t>
      </w:r>
      <w:r w:rsidRPr="00EA244B">
        <w:rPr>
          <w:szCs w:val="24"/>
        </w:rPr>
        <w:t xml:space="preserve"> no changes, and </w:t>
      </w:r>
      <w:r w:rsidR="00832BF4">
        <w:rPr>
          <w:szCs w:val="24"/>
        </w:rPr>
        <w:t>3</w:t>
      </w:r>
      <w:r w:rsidR="002E7869">
        <w:rPr>
          <w:szCs w:val="24"/>
        </w:rPr>
        <w:t xml:space="preserve"> teams (</w:t>
      </w:r>
      <w:r w:rsidR="00832BF4">
        <w:rPr>
          <w:szCs w:val="24"/>
        </w:rPr>
        <w:t>14.29</w:t>
      </w:r>
      <w:r w:rsidR="00CD08B1">
        <w:rPr>
          <w:szCs w:val="24"/>
        </w:rPr>
        <w:t>%)</w:t>
      </w:r>
      <w:r w:rsidRPr="00EA244B">
        <w:rPr>
          <w:szCs w:val="24"/>
        </w:rPr>
        <w:t xml:space="preserve"> report</w:t>
      </w:r>
      <w:r w:rsidR="00DF1001" w:rsidRPr="00EA244B">
        <w:rPr>
          <w:szCs w:val="24"/>
        </w:rPr>
        <w:t>ed</w:t>
      </w:r>
      <w:r w:rsidRPr="00EA244B">
        <w:rPr>
          <w:szCs w:val="24"/>
        </w:rPr>
        <w:t xml:space="preserve"> negative changes. </w:t>
      </w:r>
    </w:p>
    <w:p w14:paraId="61363ED5" w14:textId="0FC4695A" w:rsidR="00A56D7F" w:rsidRDefault="00A56D7F" w:rsidP="00E003F3">
      <w:pPr>
        <w:pStyle w:val="Quote"/>
      </w:pPr>
      <w:r w:rsidRPr="00A56D7F">
        <w:t>"Students appreciated the layout of course materials, the way materials are presented, and the quizzes. Course completion rate was very high."</w:t>
      </w:r>
      <w:r>
        <w:t xml:space="preserve"> – </w:t>
      </w:r>
      <w:r w:rsidRPr="00A56D7F">
        <w:t>Dr. Antara Dutta, Georgia State University</w:t>
      </w:r>
    </w:p>
    <w:p w14:paraId="01246800" w14:textId="77777777" w:rsidR="00161838" w:rsidRDefault="00161838" w:rsidP="00CD08B1">
      <w:pPr>
        <w:rPr>
          <w:szCs w:val="24"/>
        </w:rPr>
      </w:pPr>
    </w:p>
    <w:p w14:paraId="23253646" w14:textId="71B32878" w:rsidR="00A56D7F" w:rsidRDefault="00161838" w:rsidP="00CD08B1">
      <w:pPr>
        <w:rPr>
          <w:szCs w:val="24"/>
        </w:rPr>
      </w:pPr>
      <w:r>
        <w:rPr>
          <w:noProof/>
          <w:szCs w:val="24"/>
        </w:rPr>
        <w:drawing>
          <wp:inline distT="0" distB="0" distL="0" distR="0" wp14:anchorId="34B84E44" wp14:editId="7280E130">
            <wp:extent cx="5943600" cy="426756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896327" w14:textId="3C698C39" w:rsidR="002949F5" w:rsidRPr="00EA244B" w:rsidRDefault="002949F5" w:rsidP="00CD08B1">
      <w:pPr>
        <w:rPr>
          <w:szCs w:val="24"/>
        </w:rPr>
      </w:pPr>
    </w:p>
    <w:p w14:paraId="619BF269" w14:textId="70B38F92" w:rsidR="004774AD" w:rsidRDefault="002949F5" w:rsidP="002949F5">
      <w:pPr>
        <w:rPr>
          <w:szCs w:val="24"/>
        </w:rPr>
      </w:pPr>
      <w:r w:rsidRPr="00EA244B">
        <w:rPr>
          <w:szCs w:val="24"/>
        </w:rPr>
        <w:t xml:space="preserve">While DFW rates are a standard measure of </w:t>
      </w:r>
      <w:r w:rsidR="00987F26" w:rsidRPr="00EA244B">
        <w:rPr>
          <w:szCs w:val="24"/>
        </w:rPr>
        <w:t xml:space="preserve">student </w:t>
      </w:r>
      <w:r w:rsidRPr="00EA244B">
        <w:rPr>
          <w:szCs w:val="24"/>
        </w:rPr>
        <w:t xml:space="preserve">retention, the difference between a positive or negative outcome can vary depending on the course and the project. </w:t>
      </w:r>
      <w:r w:rsidR="00DF1001" w:rsidRPr="00EA244B">
        <w:rPr>
          <w:szCs w:val="24"/>
        </w:rPr>
        <w:t>A</w:t>
      </w:r>
      <w:r w:rsidRPr="00EA244B">
        <w:rPr>
          <w:szCs w:val="24"/>
        </w:rPr>
        <w:t xml:space="preserve"> course with consistently low DFW rates with a small </w:t>
      </w:r>
      <w:r w:rsidR="00987F26" w:rsidRPr="00EA244B">
        <w:rPr>
          <w:szCs w:val="24"/>
        </w:rPr>
        <w:t>negative effect</w:t>
      </w:r>
      <w:r w:rsidRPr="00EA244B">
        <w:rPr>
          <w:szCs w:val="24"/>
        </w:rPr>
        <w:t xml:space="preserve"> during implementation may not </w:t>
      </w:r>
      <w:r w:rsidR="00987F26" w:rsidRPr="00EA244B">
        <w:rPr>
          <w:szCs w:val="24"/>
        </w:rPr>
        <w:t>reflect a large impact on the course</w:t>
      </w:r>
      <w:r w:rsidRPr="00EA244B">
        <w:rPr>
          <w:szCs w:val="24"/>
        </w:rPr>
        <w:t xml:space="preserve">. </w:t>
      </w:r>
      <w:r w:rsidR="00987F26" w:rsidRPr="00EA244B">
        <w:rPr>
          <w:szCs w:val="24"/>
        </w:rPr>
        <w:t xml:space="preserve"> </w:t>
      </w:r>
      <w:r w:rsidR="004774AD">
        <w:rPr>
          <w:szCs w:val="24"/>
        </w:rPr>
        <w:br w:type="page"/>
      </w:r>
    </w:p>
    <w:p w14:paraId="23718CB3" w14:textId="19518D80" w:rsidR="004F5002" w:rsidRPr="00EA244B" w:rsidRDefault="004F5002" w:rsidP="00783866">
      <w:pPr>
        <w:pStyle w:val="Heading1"/>
      </w:pPr>
      <w:bookmarkStart w:id="13" w:name="_Lessons_Learned"/>
      <w:bookmarkStart w:id="14" w:name="_Toc3807111"/>
      <w:bookmarkEnd w:id="13"/>
      <w:r w:rsidRPr="00EA244B">
        <w:lastRenderedPageBreak/>
        <w:t>Lessons Learned</w:t>
      </w:r>
      <w:bookmarkEnd w:id="14"/>
    </w:p>
    <w:p w14:paraId="562F7143" w14:textId="4EB2A37C" w:rsidR="004F5002" w:rsidRPr="00EA244B" w:rsidRDefault="00F61AD8" w:rsidP="004F5002">
      <w:pPr>
        <w:rPr>
          <w:szCs w:val="24"/>
        </w:rPr>
      </w:pPr>
      <w:r w:rsidRPr="00EA244B">
        <w:rPr>
          <w:szCs w:val="24"/>
        </w:rPr>
        <w:t>Each F</w:t>
      </w:r>
      <w:r w:rsidR="004F5002" w:rsidRPr="00EA244B">
        <w:rPr>
          <w:szCs w:val="24"/>
        </w:rPr>
        <w:t xml:space="preserve">inal </w:t>
      </w:r>
      <w:r w:rsidRPr="00EA244B">
        <w:rPr>
          <w:szCs w:val="24"/>
        </w:rPr>
        <w:t>R</w:t>
      </w:r>
      <w:r w:rsidR="004F5002" w:rsidRPr="00EA244B">
        <w:rPr>
          <w:szCs w:val="24"/>
        </w:rPr>
        <w:t>eport</w:t>
      </w:r>
      <w:r w:rsidRPr="00EA244B">
        <w:rPr>
          <w:szCs w:val="24"/>
        </w:rPr>
        <w:t xml:space="preserve"> contains a section within the narrative document for </w:t>
      </w:r>
      <w:r w:rsidR="00184F43">
        <w:rPr>
          <w:szCs w:val="24"/>
        </w:rPr>
        <w:t>l</w:t>
      </w:r>
      <w:r w:rsidRPr="00EA244B">
        <w:rPr>
          <w:szCs w:val="24"/>
        </w:rPr>
        <w:t xml:space="preserve">essons </w:t>
      </w:r>
      <w:r w:rsidR="00184F43">
        <w:rPr>
          <w:szCs w:val="24"/>
        </w:rPr>
        <w:t>l</w:t>
      </w:r>
      <w:r w:rsidRPr="00EA244B">
        <w:rPr>
          <w:szCs w:val="24"/>
        </w:rPr>
        <w:t>earned. From the reports,</w:t>
      </w:r>
      <w:r w:rsidR="004F5002" w:rsidRPr="00EA244B">
        <w:rPr>
          <w:szCs w:val="24"/>
        </w:rPr>
        <w:t xml:space="preserve"> Affordable Learning Georgia </w:t>
      </w:r>
      <w:r w:rsidR="00DF1001" w:rsidRPr="00EA244B">
        <w:rPr>
          <w:szCs w:val="24"/>
        </w:rPr>
        <w:t xml:space="preserve">has reached the following </w:t>
      </w:r>
      <w:r w:rsidRPr="00EA244B">
        <w:rPr>
          <w:szCs w:val="24"/>
        </w:rPr>
        <w:t xml:space="preserve">overall </w:t>
      </w:r>
      <w:r w:rsidR="00DF1001" w:rsidRPr="00EA244B">
        <w:rPr>
          <w:szCs w:val="24"/>
        </w:rPr>
        <w:t>conclusions</w:t>
      </w:r>
      <w:r w:rsidR="004F5002" w:rsidRPr="00EA244B">
        <w:rPr>
          <w:szCs w:val="24"/>
        </w:rPr>
        <w:t xml:space="preserve"> when implementing open, no-cost, or low-cost materials to replace a commercial textbook in a course: </w:t>
      </w:r>
    </w:p>
    <w:p w14:paraId="1DCB4820" w14:textId="41CF3945" w:rsidR="00EC4C34" w:rsidRDefault="002E7869" w:rsidP="00943F52">
      <w:pPr>
        <w:rPr>
          <w:szCs w:val="24"/>
        </w:rPr>
      </w:pPr>
      <w:r w:rsidRPr="00943F52">
        <w:rPr>
          <w:b/>
          <w:szCs w:val="24"/>
        </w:rPr>
        <w:t>OER implementation takes</w:t>
      </w:r>
      <w:r w:rsidR="003C3212" w:rsidRPr="00943F52">
        <w:rPr>
          <w:b/>
          <w:szCs w:val="24"/>
        </w:rPr>
        <w:t xml:space="preserve"> </w:t>
      </w:r>
      <w:r w:rsidR="002800F4" w:rsidRPr="00943F52">
        <w:rPr>
          <w:b/>
          <w:szCs w:val="24"/>
        </w:rPr>
        <w:t>substantial planning in order to achieve goals within the deadline</w:t>
      </w:r>
      <w:r w:rsidR="00F61AD8" w:rsidRPr="00943F52">
        <w:rPr>
          <w:b/>
          <w:szCs w:val="24"/>
        </w:rPr>
        <w:t>:</w:t>
      </w:r>
      <w:r w:rsidR="00005860" w:rsidRPr="00943F52">
        <w:rPr>
          <w:b/>
          <w:szCs w:val="24"/>
        </w:rPr>
        <w:t xml:space="preserve"> </w:t>
      </w:r>
      <w:r w:rsidR="002800F4" w:rsidRPr="00943F52">
        <w:rPr>
          <w:szCs w:val="24"/>
        </w:rPr>
        <w:t xml:space="preserve">More teams than usual reported an issue with a lack of time </w:t>
      </w:r>
      <w:r w:rsidR="004D6AB2" w:rsidRPr="00943F52">
        <w:rPr>
          <w:szCs w:val="24"/>
        </w:rPr>
        <w:t xml:space="preserve">to complete the project. Some of these issues were attributed to a lack of foreknowledge of the time it would take, </w:t>
      </w:r>
      <w:r w:rsidR="00314966" w:rsidRPr="00943F52">
        <w:rPr>
          <w:szCs w:val="24"/>
        </w:rPr>
        <w:t xml:space="preserve">one team cited a lack of a course release option at their institution, and </w:t>
      </w:r>
      <w:r w:rsidR="004D6AB2" w:rsidRPr="00943F52">
        <w:rPr>
          <w:szCs w:val="24"/>
        </w:rPr>
        <w:t>other</w:t>
      </w:r>
      <w:r w:rsidR="00314966" w:rsidRPr="00943F52">
        <w:rPr>
          <w:szCs w:val="24"/>
        </w:rPr>
        <w:t xml:space="preserve"> teams reported the issues were</w:t>
      </w:r>
      <w:r w:rsidR="004D6AB2" w:rsidRPr="00943F52">
        <w:rPr>
          <w:szCs w:val="24"/>
        </w:rPr>
        <w:t xml:space="preserve"> due to unforeseen </w:t>
      </w:r>
      <w:r w:rsidR="00314966" w:rsidRPr="00943F52">
        <w:rPr>
          <w:szCs w:val="24"/>
        </w:rPr>
        <w:t xml:space="preserve">personnel </w:t>
      </w:r>
      <w:r w:rsidR="00424614" w:rsidRPr="00943F52">
        <w:rPr>
          <w:szCs w:val="24"/>
        </w:rPr>
        <w:t xml:space="preserve">circumstances. </w:t>
      </w:r>
    </w:p>
    <w:p w14:paraId="45D4E5D5" w14:textId="41720BC0" w:rsidR="008D43C6" w:rsidRPr="00943F52" w:rsidRDefault="008D43C6" w:rsidP="00E003F3">
      <w:pPr>
        <w:pStyle w:val="Quote"/>
      </w:pPr>
      <w:r w:rsidRPr="008D43C6">
        <w:t>"One of the most difficult aspects of this project was trying to find the time to focus on the project while juggling normal teaching duties. If possible, getting a course release during the project would be extremely helpful."</w:t>
      </w:r>
      <w:r>
        <w:t xml:space="preserve"> – </w:t>
      </w:r>
      <w:r w:rsidRPr="008D43C6">
        <w:t>Dr. Michelle Boyce, Georgia Highlands College</w:t>
      </w:r>
    </w:p>
    <w:p w14:paraId="556E898A" w14:textId="1849471E" w:rsidR="00EC4C34" w:rsidRDefault="00EC4C34" w:rsidP="00EC4C34">
      <w:pPr>
        <w:rPr>
          <w:szCs w:val="24"/>
        </w:rPr>
      </w:pPr>
    </w:p>
    <w:p w14:paraId="7F22415D" w14:textId="4301695A" w:rsidR="008D43C6" w:rsidRPr="00EC4C34" w:rsidRDefault="008D43C6" w:rsidP="00E003F3">
      <w:pPr>
        <w:pStyle w:val="Quote"/>
      </w:pPr>
      <w:r w:rsidRPr="008D43C6">
        <w:t>"...the course director for the Clinical Calculations course had an extended illness. This illness put a halt on the writing portion of the text. This impacted the responsibilities of other team members; resulting in inability to meet the defined timelines."</w:t>
      </w:r>
      <w:r>
        <w:t xml:space="preserve"> – </w:t>
      </w:r>
      <w:r w:rsidRPr="008D43C6">
        <w:t>Dr. DeLoris Hesse, University of Georgia</w:t>
      </w:r>
    </w:p>
    <w:p w14:paraId="39B1955A" w14:textId="5DAB0C78" w:rsidR="002E7869" w:rsidRPr="00EC4C34" w:rsidRDefault="002E7869" w:rsidP="00EC4C34">
      <w:pPr>
        <w:rPr>
          <w:szCs w:val="24"/>
        </w:rPr>
      </w:pPr>
    </w:p>
    <w:p w14:paraId="5F1C7576" w14:textId="69B5ACF7" w:rsidR="00F4771B" w:rsidRDefault="00EC2EEA" w:rsidP="00943F52">
      <w:pPr>
        <w:rPr>
          <w:bCs/>
          <w:szCs w:val="24"/>
        </w:rPr>
      </w:pPr>
      <w:r w:rsidRPr="00943F52">
        <w:rPr>
          <w:b/>
          <w:szCs w:val="24"/>
        </w:rPr>
        <w:t>There is still a lack of usable no-cost and low-cost homework software to support OER</w:t>
      </w:r>
      <w:r w:rsidR="00783866" w:rsidRPr="00943F52">
        <w:rPr>
          <w:b/>
          <w:szCs w:val="24"/>
        </w:rPr>
        <w:t xml:space="preserve">: </w:t>
      </w:r>
      <w:r w:rsidR="00157113" w:rsidRPr="00943F52">
        <w:rPr>
          <w:bCs/>
          <w:szCs w:val="24"/>
        </w:rPr>
        <w:t xml:space="preserve">In previous years, grant teams cited a lack of usability </w:t>
      </w:r>
      <w:r w:rsidR="00427643" w:rsidRPr="00943F52">
        <w:rPr>
          <w:bCs/>
          <w:szCs w:val="24"/>
        </w:rPr>
        <w:t xml:space="preserve">with inflexible proprietary low-cost platforms. In this round, attempts at scaling up the use of open-source software yielded similar usability issues: </w:t>
      </w:r>
    </w:p>
    <w:p w14:paraId="79B960FC" w14:textId="13B464CF" w:rsidR="00DA7EC4" w:rsidRPr="00943F52" w:rsidRDefault="00DA7EC4" w:rsidP="00E003F3">
      <w:pPr>
        <w:pStyle w:val="Quote"/>
      </w:pPr>
      <w:r w:rsidRPr="00DA7EC4">
        <w:t>"On both campuses, the students (who are mainly business majors) were extremely frustrated with the platform.  In previous math classes, they had used paid systems that they felt were easier to navigate."</w:t>
      </w:r>
      <w:r>
        <w:t xml:space="preserve"> – </w:t>
      </w:r>
      <w:r w:rsidRPr="00DA7EC4">
        <w:t>Dr. Paul Hadavas, Georgia Southern University</w:t>
      </w:r>
    </w:p>
    <w:p w14:paraId="2A39C648" w14:textId="2C8C40B5" w:rsidR="00427643" w:rsidRPr="00427643" w:rsidRDefault="00427643" w:rsidP="00427643">
      <w:pPr>
        <w:rPr>
          <w:szCs w:val="24"/>
        </w:rPr>
      </w:pPr>
    </w:p>
    <w:p w14:paraId="26436CBB" w14:textId="77777777" w:rsidR="00DA7EC4" w:rsidRDefault="00DA7EC4">
      <w:pPr>
        <w:rPr>
          <w:b/>
          <w:szCs w:val="24"/>
        </w:rPr>
      </w:pPr>
      <w:r>
        <w:rPr>
          <w:b/>
          <w:szCs w:val="24"/>
        </w:rPr>
        <w:br w:type="page"/>
      </w:r>
    </w:p>
    <w:p w14:paraId="044E1DB9" w14:textId="4ADEDEA8" w:rsidR="00F4771B" w:rsidRDefault="00BC2BCB" w:rsidP="00943F52">
      <w:pPr>
        <w:rPr>
          <w:szCs w:val="24"/>
        </w:rPr>
      </w:pPr>
      <w:r w:rsidRPr="00943F52">
        <w:rPr>
          <w:b/>
          <w:szCs w:val="24"/>
        </w:rPr>
        <w:lastRenderedPageBreak/>
        <w:t xml:space="preserve">Teams are divided on whether or not </w:t>
      </w:r>
      <w:r w:rsidR="00214B65" w:rsidRPr="00943F52">
        <w:rPr>
          <w:b/>
          <w:szCs w:val="24"/>
        </w:rPr>
        <w:t>equitable access to materials leads to more reading</w:t>
      </w:r>
      <w:r w:rsidR="00724DEF" w:rsidRPr="00943F52">
        <w:rPr>
          <w:b/>
          <w:szCs w:val="24"/>
        </w:rPr>
        <w:t>:</w:t>
      </w:r>
      <w:r w:rsidR="003C4FE8" w:rsidRPr="00943F52">
        <w:rPr>
          <w:b/>
          <w:szCs w:val="24"/>
        </w:rPr>
        <w:t xml:space="preserve"> </w:t>
      </w:r>
      <w:r w:rsidR="00214B65" w:rsidRPr="00943F52">
        <w:rPr>
          <w:szCs w:val="24"/>
        </w:rPr>
        <w:t xml:space="preserve">In previous years, </w:t>
      </w:r>
      <w:r w:rsidR="00692164" w:rsidRPr="00943F52">
        <w:rPr>
          <w:szCs w:val="24"/>
        </w:rPr>
        <w:t>a few grant teams reported a lack of increased engagement with OER and other no-cost materials despite expanding access. This year,</w:t>
      </w:r>
      <w:r w:rsidR="0053693A" w:rsidRPr="00943F52">
        <w:rPr>
          <w:szCs w:val="24"/>
        </w:rPr>
        <w:t xml:space="preserve"> a couple </w:t>
      </w:r>
      <w:r w:rsidR="00DA7EC4">
        <w:rPr>
          <w:szCs w:val="24"/>
        </w:rPr>
        <w:t xml:space="preserve">of </w:t>
      </w:r>
      <w:r w:rsidR="0053693A" w:rsidRPr="00943F52">
        <w:rPr>
          <w:szCs w:val="24"/>
        </w:rPr>
        <w:t xml:space="preserve">teams reported this same lack, while others reported an increase in engagement, linking this engagement to an increase in learning outcomes. </w:t>
      </w:r>
    </w:p>
    <w:p w14:paraId="6310B5A3" w14:textId="62F19DA9" w:rsidR="00DA7EC4" w:rsidRDefault="00DA7EC4" w:rsidP="00DA7EC4">
      <w:pPr>
        <w:pStyle w:val="Quote"/>
      </w:pPr>
      <w:r w:rsidRPr="00E003F3">
        <w:t>"During implementation, it was observed that some students were more prepared, as they had read the textbook chapter and/or summarized lecture notes before class. The survey suggests that a large chunk of students used the text for BIOL 1107 either 2-3 times a week or daily."</w:t>
      </w:r>
      <w:r>
        <w:t xml:space="preserve"> – </w:t>
      </w:r>
      <w:r w:rsidRPr="00E003F3">
        <w:t>Dr. Candice Chatman, Atlanta Metropolitan State College</w:t>
      </w:r>
    </w:p>
    <w:p w14:paraId="6A3A42F8" w14:textId="5828177B" w:rsidR="00DA7EC4" w:rsidRDefault="00DA7EC4" w:rsidP="00DA7EC4"/>
    <w:p w14:paraId="1519BF66" w14:textId="743E716B" w:rsidR="00DA7EC4" w:rsidRPr="00E003F3" w:rsidRDefault="00DA7EC4" w:rsidP="00E003F3">
      <w:pPr>
        <w:pStyle w:val="Quote"/>
      </w:pPr>
      <w:r>
        <w:t>"Our students were a mix of freshmen to senior students. In general, the freshmen spent more time reading and analyzing the texts than the seniors did.” – Dr. Jia Lu, Valdosta State University</w:t>
      </w:r>
    </w:p>
    <w:p w14:paraId="3FBB8305" w14:textId="5BB06DE1" w:rsidR="00943F52" w:rsidRDefault="00943F52" w:rsidP="003F50F1">
      <w:pPr>
        <w:rPr>
          <w:b/>
          <w:szCs w:val="24"/>
        </w:rPr>
      </w:pPr>
    </w:p>
    <w:p w14:paraId="6E8FC912" w14:textId="50E7D085" w:rsidR="00987584" w:rsidRDefault="0078316F" w:rsidP="002238A1">
      <w:pPr>
        <w:rPr>
          <w:bCs/>
          <w:szCs w:val="24"/>
        </w:rPr>
      </w:pPr>
      <w:r>
        <w:rPr>
          <w:b/>
          <w:szCs w:val="24"/>
        </w:rPr>
        <w:t>Even where full open textbooks exist, OER content gaps will happen depending on the needs of each unique course</w:t>
      </w:r>
      <w:r w:rsidR="0063554A">
        <w:rPr>
          <w:b/>
          <w:szCs w:val="24"/>
        </w:rPr>
        <w:t xml:space="preserve">: </w:t>
      </w:r>
      <w:r w:rsidR="00B6314E">
        <w:rPr>
          <w:bCs/>
          <w:szCs w:val="24"/>
        </w:rPr>
        <w:t>Multiple teams who had a plan to ad</w:t>
      </w:r>
      <w:r w:rsidR="00DA3B26">
        <w:rPr>
          <w:bCs/>
          <w:szCs w:val="24"/>
        </w:rPr>
        <w:t>opt a previously</w:t>
      </w:r>
      <w:r w:rsidR="00E86265">
        <w:rPr>
          <w:bCs/>
          <w:szCs w:val="24"/>
        </w:rPr>
        <w:t xml:space="preserve"> </w:t>
      </w:r>
      <w:r w:rsidR="00DA3B26">
        <w:rPr>
          <w:bCs/>
          <w:szCs w:val="24"/>
        </w:rPr>
        <w:t>existing open textbook encountered content gaps when trying to apply this text to their specific courses</w:t>
      </w:r>
      <w:r w:rsidR="002D5C2E">
        <w:rPr>
          <w:bCs/>
          <w:szCs w:val="24"/>
        </w:rPr>
        <w:t>. When these gaps are found, the amount of work increases</w:t>
      </w:r>
      <w:r w:rsidR="002E56A0">
        <w:rPr>
          <w:bCs/>
          <w:szCs w:val="24"/>
        </w:rPr>
        <w:t xml:space="preserve">, from adding other existing no-cost resources to creating entirely new resources. </w:t>
      </w:r>
      <w:r w:rsidR="00F9213C">
        <w:rPr>
          <w:bCs/>
          <w:szCs w:val="24"/>
        </w:rPr>
        <w:t>In the future,</w:t>
      </w:r>
      <w:r w:rsidR="0017343B">
        <w:rPr>
          <w:bCs/>
          <w:szCs w:val="24"/>
        </w:rPr>
        <w:t xml:space="preserve"> grant</w:t>
      </w:r>
      <w:r w:rsidR="00F9213C">
        <w:rPr>
          <w:bCs/>
          <w:szCs w:val="24"/>
        </w:rPr>
        <w:t xml:space="preserve"> applicants should be advised to check the </w:t>
      </w:r>
      <w:r w:rsidR="00225047">
        <w:rPr>
          <w:bCs/>
          <w:szCs w:val="24"/>
        </w:rPr>
        <w:t>planned adoption</w:t>
      </w:r>
      <w:r w:rsidR="0017343B">
        <w:rPr>
          <w:bCs/>
          <w:szCs w:val="24"/>
        </w:rPr>
        <w:t>’s content</w:t>
      </w:r>
      <w:r w:rsidR="00225047">
        <w:rPr>
          <w:bCs/>
          <w:szCs w:val="24"/>
        </w:rPr>
        <w:t xml:space="preserve"> against all specific course </w:t>
      </w:r>
      <w:r w:rsidR="0017343B">
        <w:rPr>
          <w:bCs/>
          <w:szCs w:val="24"/>
        </w:rPr>
        <w:t xml:space="preserve">outcomes and objectives before submitting the application. </w:t>
      </w:r>
      <w:r w:rsidR="00B6314E">
        <w:rPr>
          <w:bCs/>
          <w:szCs w:val="24"/>
        </w:rPr>
        <w:t xml:space="preserve"> </w:t>
      </w:r>
    </w:p>
    <w:p w14:paraId="5242629F" w14:textId="1CCBD2D5" w:rsidR="00E86265" w:rsidRPr="00B6314E" w:rsidRDefault="00E86265" w:rsidP="00E003F3">
      <w:pPr>
        <w:pStyle w:val="Quote"/>
      </w:pPr>
      <w:r w:rsidRPr="00E86265">
        <w:t xml:space="preserve">“Despite its merits, this text has content gaps… To fill these holes, Larson and Cheek used instructional materials that students can access for free such as 100 percent free textbooks, primary sources, journal articles, book chapters, book excerpts, newspaper articles, videos, and PowerPoints.” </w:t>
      </w:r>
      <w:r>
        <w:t xml:space="preserve">– </w:t>
      </w:r>
      <w:r w:rsidRPr="00E86265">
        <w:t>Dr. Brett Larson, East Georgia State College</w:t>
      </w:r>
    </w:p>
    <w:p w14:paraId="50C56CA5" w14:textId="2868AD5E" w:rsidR="00E53A0F" w:rsidRDefault="00E53A0F" w:rsidP="004774AD">
      <w:pPr>
        <w:rPr>
          <w:szCs w:val="24"/>
        </w:rPr>
      </w:pPr>
    </w:p>
    <w:p w14:paraId="4FB749AB" w14:textId="4835BDF6" w:rsidR="004774AD" w:rsidRDefault="004774AD" w:rsidP="004774AD">
      <w:pPr>
        <w:rPr>
          <w:szCs w:val="24"/>
        </w:rPr>
      </w:pPr>
      <w:r>
        <w:rPr>
          <w:szCs w:val="24"/>
        </w:rPr>
        <w:br w:type="page"/>
      </w:r>
    </w:p>
    <w:p w14:paraId="24CDFCCE" w14:textId="277204E9" w:rsidR="001D1906" w:rsidRPr="00EA244B" w:rsidRDefault="001D1906" w:rsidP="00BD5BE3">
      <w:pPr>
        <w:pStyle w:val="Heading1"/>
      </w:pPr>
      <w:bookmarkStart w:id="15" w:name="_Conclusions"/>
      <w:bookmarkStart w:id="16" w:name="_Toc3807112"/>
      <w:bookmarkEnd w:id="15"/>
      <w:r w:rsidRPr="00EA244B">
        <w:lastRenderedPageBreak/>
        <w:t>Conclusions</w:t>
      </w:r>
      <w:bookmarkEnd w:id="16"/>
    </w:p>
    <w:p w14:paraId="0D683219" w14:textId="630ED636" w:rsidR="007242D9" w:rsidRPr="00EA244B" w:rsidRDefault="00443107">
      <w:r w:rsidRPr="00EA244B">
        <w:t>The final reports indicate many b</w:t>
      </w:r>
      <w:r w:rsidR="007242D9" w:rsidRPr="00EA244B">
        <w:t xml:space="preserve">enefits to </w:t>
      </w:r>
      <w:r w:rsidR="000E2329" w:rsidRPr="00EA244B">
        <w:t xml:space="preserve">participating in and being affected by a </w:t>
      </w:r>
      <w:r w:rsidR="007242D9" w:rsidRPr="00EA244B">
        <w:t xml:space="preserve">Textbook Transformation Grants project: </w:t>
      </w:r>
    </w:p>
    <w:p w14:paraId="0D51B2B3" w14:textId="52A926C5" w:rsidR="00294D56" w:rsidRDefault="00294D56" w:rsidP="00B22493">
      <w:pPr>
        <w:pStyle w:val="ListParagraph"/>
        <w:numPr>
          <w:ilvl w:val="0"/>
          <w:numId w:val="20"/>
        </w:numPr>
      </w:pPr>
      <w:r>
        <w:t xml:space="preserve">Students continue to have positive perceptions </w:t>
      </w:r>
      <w:r w:rsidR="00443107" w:rsidRPr="00EA244B">
        <w:t>about the implementation of free and open materials in the classroom</w:t>
      </w:r>
      <w:r w:rsidR="000E2329" w:rsidRPr="00EA244B">
        <w:t xml:space="preserve">. </w:t>
      </w:r>
    </w:p>
    <w:p w14:paraId="1C18F2C9" w14:textId="45249159" w:rsidR="00294D56" w:rsidRDefault="00DA6900" w:rsidP="001E50A2">
      <w:pPr>
        <w:pStyle w:val="ListParagraph"/>
        <w:numPr>
          <w:ilvl w:val="0"/>
          <w:numId w:val="20"/>
        </w:numPr>
      </w:pPr>
      <w:r>
        <w:t>The process of transforming a</w:t>
      </w:r>
      <w:r w:rsidR="00987584">
        <w:t xml:space="preserve"> course allow</w:t>
      </w:r>
      <w:r>
        <w:t>ed</w:t>
      </w:r>
      <w:r w:rsidR="00987584">
        <w:t xml:space="preserve"> instructors to </w:t>
      </w:r>
      <w:r w:rsidR="00EA2881">
        <w:t>i</w:t>
      </w:r>
      <w:r w:rsidR="00987584">
        <w:t xml:space="preserve">mprove </w:t>
      </w:r>
      <w:r w:rsidR="000E2329" w:rsidRPr="00EA244B">
        <w:t>th</w:t>
      </w:r>
      <w:r w:rsidR="00443107" w:rsidRPr="00EA244B">
        <w:t xml:space="preserve">eir instructional knowledge, </w:t>
      </w:r>
      <w:r w:rsidR="000E2329" w:rsidRPr="00EA244B">
        <w:t>methods</w:t>
      </w:r>
      <w:r w:rsidR="00443107" w:rsidRPr="00EA244B">
        <w:t>, and pedagogy</w:t>
      </w:r>
      <w:r w:rsidR="000E2329" w:rsidRPr="00EA244B">
        <w:t xml:space="preserve">. </w:t>
      </w:r>
    </w:p>
    <w:p w14:paraId="2E733B86" w14:textId="02902D0D" w:rsidR="00294D56" w:rsidRDefault="00443107" w:rsidP="00DE0450">
      <w:pPr>
        <w:pStyle w:val="ListParagraph"/>
        <w:numPr>
          <w:ilvl w:val="0"/>
          <w:numId w:val="20"/>
        </w:numPr>
      </w:pPr>
      <w:r w:rsidRPr="00EA244B">
        <w:t xml:space="preserve">Instructors </w:t>
      </w:r>
      <w:r w:rsidR="0080743C" w:rsidRPr="00EA244B">
        <w:t xml:space="preserve">continue to </w:t>
      </w:r>
      <w:r w:rsidRPr="00EA244B">
        <w:t xml:space="preserve">have </w:t>
      </w:r>
      <w:r w:rsidR="000E2329" w:rsidRPr="00EA244B">
        <w:t xml:space="preserve">opportunities to share their </w:t>
      </w:r>
      <w:r w:rsidRPr="00EA244B">
        <w:t xml:space="preserve">transformation </w:t>
      </w:r>
      <w:r w:rsidR="000E2329" w:rsidRPr="00EA244B">
        <w:t xml:space="preserve">experiences and findings through conference presentations, panels, and articles. </w:t>
      </w:r>
    </w:p>
    <w:p w14:paraId="2F3C7AFC" w14:textId="3265F286" w:rsidR="00294D56" w:rsidRDefault="00443107" w:rsidP="00FF6F65">
      <w:pPr>
        <w:pStyle w:val="ListParagraph"/>
        <w:numPr>
          <w:ilvl w:val="0"/>
          <w:numId w:val="20"/>
        </w:numPr>
      </w:pPr>
      <w:r w:rsidRPr="00EA244B">
        <w:t xml:space="preserve">Textbook Transformation Grants projects in </w:t>
      </w:r>
      <w:r w:rsidR="0080743C" w:rsidRPr="00EA244B">
        <w:t xml:space="preserve">these rounds </w:t>
      </w:r>
      <w:r w:rsidRPr="00EA244B">
        <w:t>once again</w:t>
      </w:r>
      <w:r w:rsidR="000E2329" w:rsidRPr="00EA244B">
        <w:t xml:space="preserve"> resulted in </w:t>
      </w:r>
      <w:r w:rsidRPr="00EA244B">
        <w:t xml:space="preserve">mostly </w:t>
      </w:r>
      <w:r w:rsidR="000E2329" w:rsidRPr="00EA244B">
        <w:t>positive or comparable</w:t>
      </w:r>
      <w:r w:rsidR="002F1CE5" w:rsidRPr="00EA244B">
        <w:t xml:space="preserve"> performance and retention</w:t>
      </w:r>
      <w:r w:rsidR="000E2329" w:rsidRPr="00EA244B">
        <w:t xml:space="preserve"> data </w:t>
      </w:r>
      <w:r w:rsidR="002F1CE5" w:rsidRPr="00EA244B">
        <w:t xml:space="preserve">compared to </w:t>
      </w:r>
      <w:r w:rsidR="000E2329" w:rsidRPr="00EA244B">
        <w:t>previous semesters, control groups, and/or instructor and departmental aver</w:t>
      </w:r>
      <w:r w:rsidR="0080743C" w:rsidRPr="00EA244B">
        <w:t xml:space="preserve">ages, all while saving students </w:t>
      </w:r>
      <w:r w:rsidR="00F50872">
        <w:t>money on textbook costs during the course of the project.</w:t>
      </w:r>
    </w:p>
    <w:p w14:paraId="66FF84E0" w14:textId="0A075127" w:rsidR="00294D56" w:rsidRDefault="00356520" w:rsidP="00356520">
      <w:r>
        <w:t xml:space="preserve">In addition to these benefits, some lessons were learned: </w:t>
      </w:r>
    </w:p>
    <w:p w14:paraId="55C1F631" w14:textId="13A4813B" w:rsidR="00356520" w:rsidRDefault="00356520" w:rsidP="003C4AFC">
      <w:pPr>
        <w:pStyle w:val="ListParagraph"/>
        <w:numPr>
          <w:ilvl w:val="0"/>
          <w:numId w:val="20"/>
        </w:numPr>
      </w:pPr>
      <w:r>
        <w:t xml:space="preserve">Implementation planning needs to include contingencies, such as the addition of extra work or either the temporary or permanent loss of a team member. </w:t>
      </w:r>
    </w:p>
    <w:p w14:paraId="763B6955" w14:textId="2DF7D964" w:rsidR="00EA244B" w:rsidRDefault="007B6621" w:rsidP="003C4AFC">
      <w:pPr>
        <w:pStyle w:val="ListParagraph"/>
        <w:numPr>
          <w:ilvl w:val="0"/>
          <w:numId w:val="20"/>
        </w:numPr>
      </w:pPr>
      <w:r>
        <w:t xml:space="preserve">There is still a lack of usable and comprehensive homework systems to support OER. </w:t>
      </w:r>
    </w:p>
    <w:p w14:paraId="2EE2D68C" w14:textId="1CD348A3" w:rsidR="00264B72" w:rsidRDefault="009F0266" w:rsidP="00264B72">
      <w:pPr>
        <w:pStyle w:val="ListParagraph"/>
        <w:numPr>
          <w:ilvl w:val="0"/>
          <w:numId w:val="20"/>
        </w:numPr>
      </w:pPr>
      <w:r>
        <w:t xml:space="preserve">OER content gaps </w:t>
      </w:r>
      <w:r w:rsidR="00161429">
        <w:t xml:space="preserve">should be expected, </w:t>
      </w:r>
      <w:r w:rsidR="00264B72">
        <w:t xml:space="preserve">even with comprehensive open textbooks, </w:t>
      </w:r>
      <w:r w:rsidR="00161429">
        <w:t>due to the varied and unique nature of each instructor’s course</w:t>
      </w:r>
      <w:r w:rsidR="00264B72">
        <w:t>.</w:t>
      </w:r>
      <w:r w:rsidR="004774AD">
        <w:t xml:space="preserve"> </w:t>
      </w:r>
    </w:p>
    <w:p w14:paraId="7096659C" w14:textId="7C7148DB" w:rsidR="00923010" w:rsidRDefault="00923010" w:rsidP="00E003F3">
      <w:pPr>
        <w:pStyle w:val="Quote"/>
      </w:pPr>
      <w:r>
        <w:t>"Overall, the experience has been very positive! It pushed me to know the course content at a much more intimate level." – Dr. Yan Yang, University of West Georgia</w:t>
      </w:r>
    </w:p>
    <w:p w14:paraId="78EF963D" w14:textId="46F54AC9" w:rsidR="00264B72" w:rsidRDefault="00264B72" w:rsidP="00264B72"/>
    <w:p w14:paraId="7F8417EA" w14:textId="75F9DC95" w:rsidR="007D4C43" w:rsidRPr="00EA244B" w:rsidRDefault="007D4C43" w:rsidP="007D4C43">
      <w:pPr>
        <w:pStyle w:val="Heading1"/>
      </w:pPr>
      <w:bookmarkStart w:id="17" w:name="_Toc3807113"/>
      <w:r w:rsidRPr="00EA244B">
        <w:t>Analysis Challenges</w:t>
      </w:r>
      <w:bookmarkEnd w:id="17"/>
    </w:p>
    <w:p w14:paraId="099678A7" w14:textId="2764F2A0" w:rsidR="007D4C43" w:rsidRPr="00EA244B" w:rsidRDefault="007D4C43" w:rsidP="007D4C43">
      <w:r>
        <w:t>Variation will occur</w:t>
      </w:r>
      <w:r w:rsidRPr="00EA244B">
        <w:t xml:space="preserve"> with the number of semesters of data used and whether averages calculated were department-wide or instructor-specific. Confounding factors when measuring learning outcomes and retention efficacy </w:t>
      </w:r>
      <w:r w:rsidR="004774AD">
        <w:t>can include</w:t>
      </w:r>
      <w:r>
        <w:t xml:space="preserve"> </w:t>
      </w:r>
      <w:r w:rsidRPr="00EA244B">
        <w:t xml:space="preserve">differences in student composition between semesters, enrollment shifts, and organizational complications due to institutional consolidations. </w:t>
      </w:r>
    </w:p>
    <w:p w14:paraId="0EA20379" w14:textId="61A22794" w:rsidR="007D4C43" w:rsidRPr="00EA244B" w:rsidRDefault="007D4C43" w:rsidP="007D4C43">
      <w:r w:rsidRPr="00EA244B">
        <w:t xml:space="preserve">Three uniform questions about student perceptions, student learning outcomes, and drop/fail/withdraw rates </w:t>
      </w:r>
      <w:r>
        <w:t xml:space="preserve">are given to all </w:t>
      </w:r>
      <w:r w:rsidR="00DD37C6">
        <w:t>p</w:t>
      </w:r>
      <w:r>
        <w:t xml:space="preserve">roject </w:t>
      </w:r>
      <w:r w:rsidR="00DD37C6">
        <w:t>l</w:t>
      </w:r>
      <w:r>
        <w:t xml:space="preserve">eads within the </w:t>
      </w:r>
      <w:r w:rsidR="00DD37C6">
        <w:t>f</w:t>
      </w:r>
      <w:r>
        <w:t xml:space="preserve">inal </w:t>
      </w:r>
      <w:r w:rsidR="00DD37C6">
        <w:t>r</w:t>
      </w:r>
      <w:r>
        <w:t xml:space="preserve">eport </w:t>
      </w:r>
      <w:r w:rsidRPr="00EA244B">
        <w:t>as supplementary to the</w:t>
      </w:r>
      <w:r>
        <w:t>ir</w:t>
      </w:r>
      <w:r w:rsidRPr="00EA244B">
        <w:t xml:space="preserve"> summar</w:t>
      </w:r>
      <w:r>
        <w:t xml:space="preserve">ies </w:t>
      </w:r>
      <w:r w:rsidRPr="00EA244B">
        <w:t xml:space="preserve">of all research conducted. The interpretation of qualitative and quantitative findings, evaluations of statistical significance, and analysis of confounding factors are </w:t>
      </w:r>
      <w:r>
        <w:t>the responsibility</w:t>
      </w:r>
      <w:r w:rsidRPr="00EA244B">
        <w:t xml:space="preserve"> of the faculty teams conducting the research. </w:t>
      </w:r>
    </w:p>
    <w:sectPr w:rsidR="007D4C43" w:rsidRPr="00EA244B" w:rsidSect="00927FF2">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C5A4C7" w16cex:dateUtc="2020-03-09T17:35:37.26Z"/>
  <w16cex:commentExtensible w16cex:durableId="19547098" w16cex:dateUtc="2020-03-09T17:48:10.981Z"/>
  <w16cex:commentExtensible w16cex:durableId="138AF02E" w16cex:dateUtc="2020-03-09T17:50:13.2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DA340" w14:textId="77777777" w:rsidR="00CC114C" w:rsidRDefault="00CC114C" w:rsidP="00227BF0">
      <w:pPr>
        <w:spacing w:after="0" w:line="240" w:lineRule="auto"/>
      </w:pPr>
      <w:r>
        <w:separator/>
      </w:r>
    </w:p>
  </w:endnote>
  <w:endnote w:type="continuationSeparator" w:id="0">
    <w:p w14:paraId="46D66601" w14:textId="77777777" w:rsidR="00CC114C" w:rsidRDefault="00CC114C" w:rsidP="0022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841976"/>
      <w:docPartObj>
        <w:docPartGallery w:val="Page Numbers (Bottom of Page)"/>
        <w:docPartUnique/>
      </w:docPartObj>
    </w:sdtPr>
    <w:sdtEndPr>
      <w:rPr>
        <w:noProof/>
      </w:rPr>
    </w:sdtEndPr>
    <w:sdtContent>
      <w:p w14:paraId="44E7207B" w14:textId="1D19CAC8" w:rsidR="00B8504C" w:rsidRDefault="00B8504C">
        <w:pPr>
          <w:pStyle w:val="Footer"/>
        </w:pPr>
        <w:r>
          <w:fldChar w:fldCharType="begin"/>
        </w:r>
        <w:r>
          <w:instrText xml:space="preserve"> PAGE   \* MERGEFORMAT </w:instrText>
        </w:r>
        <w:r>
          <w:fldChar w:fldCharType="separate"/>
        </w:r>
        <w:r w:rsidR="0006469A">
          <w:rPr>
            <w:noProof/>
          </w:rPr>
          <w:t>1</w:t>
        </w:r>
        <w:r>
          <w:rPr>
            <w:noProof/>
          </w:rPr>
          <w:fldChar w:fldCharType="end"/>
        </w:r>
        <w:r>
          <w:rPr>
            <w:noProof/>
          </w:rPr>
          <w:tab/>
        </w:r>
        <w:r>
          <w:rPr>
            <w:noProof/>
          </w:rPr>
          <w:tab/>
        </w:r>
      </w:p>
    </w:sdtContent>
  </w:sdt>
  <w:p w14:paraId="2072C768" w14:textId="77777777" w:rsidR="00B8504C" w:rsidRDefault="00B85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F921" w14:textId="7F2D5667" w:rsidR="00B8504C" w:rsidRDefault="00835F38">
    <w:pPr>
      <w:pStyle w:val="Footer"/>
    </w:pPr>
    <w:sdt>
      <w:sdtPr>
        <w:id w:val="969400743"/>
        <w:temporary/>
        <w:showingPlcHdr/>
      </w:sdtPr>
      <w:sdtEndPr/>
      <w:sdtContent>
        <w:r w:rsidR="00B8504C">
          <w:t>[Type here]</w:t>
        </w:r>
      </w:sdtContent>
    </w:sdt>
    <w:r w:rsidR="00B8504C">
      <w:ptab w:relativeTo="margin" w:alignment="center" w:leader="none"/>
    </w:r>
    <w:sdt>
      <w:sdtPr>
        <w:id w:val="969400748"/>
        <w:temporary/>
        <w:showingPlcHdr/>
      </w:sdtPr>
      <w:sdtEndPr/>
      <w:sdtContent>
        <w:r w:rsidR="00B8504C">
          <w:t>[Type here]</w:t>
        </w:r>
      </w:sdtContent>
    </w:sdt>
    <w:r w:rsidR="00B8504C">
      <w:ptab w:relativeTo="margin" w:alignment="right" w:leader="none"/>
    </w:r>
    <w:sdt>
      <w:sdtPr>
        <w:id w:val="969400753"/>
        <w:temporary/>
        <w:showingPlcHdr/>
      </w:sdtPr>
      <w:sdtEndPr/>
      <w:sdtContent>
        <w:r w:rsidR="00B8504C">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36672" w14:textId="77777777" w:rsidR="00CC114C" w:rsidRDefault="00CC114C" w:rsidP="00227BF0">
      <w:pPr>
        <w:spacing w:after="0" w:line="240" w:lineRule="auto"/>
      </w:pPr>
      <w:r>
        <w:separator/>
      </w:r>
    </w:p>
  </w:footnote>
  <w:footnote w:type="continuationSeparator" w:id="0">
    <w:p w14:paraId="2D772FC0" w14:textId="77777777" w:rsidR="00CC114C" w:rsidRDefault="00CC114C" w:rsidP="0022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321D3" w14:textId="77777777" w:rsidR="00B8504C" w:rsidRDefault="00B8504C" w:rsidP="00227B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C47B" w14:textId="77777777" w:rsidR="00B8504C" w:rsidRDefault="40BF7736" w:rsidP="00227BF0">
    <w:pPr>
      <w:pStyle w:val="Header"/>
      <w:jc w:val="center"/>
    </w:pPr>
    <w:r>
      <w:rPr>
        <w:noProof/>
      </w:rPr>
      <w:drawing>
        <wp:inline distT="0" distB="0" distL="0" distR="0" wp14:anchorId="1CD97AAF" wp14:editId="4A614299">
          <wp:extent cx="3313355" cy="711876"/>
          <wp:effectExtent l="0" t="0" r="1905" b="0"/>
          <wp:docPr id="13022432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13355" cy="7118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7B"/>
    <w:multiLevelType w:val="hybridMultilevel"/>
    <w:tmpl w:val="B44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3531"/>
    <w:multiLevelType w:val="hybridMultilevel"/>
    <w:tmpl w:val="5944DCD4"/>
    <w:lvl w:ilvl="0" w:tplc="077A3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84F16"/>
    <w:multiLevelType w:val="hybridMultilevel"/>
    <w:tmpl w:val="AD96D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36186"/>
    <w:multiLevelType w:val="hybridMultilevel"/>
    <w:tmpl w:val="3EB0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20C28"/>
    <w:multiLevelType w:val="hybridMultilevel"/>
    <w:tmpl w:val="16B0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87403A"/>
    <w:multiLevelType w:val="hybridMultilevel"/>
    <w:tmpl w:val="5648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B5E72"/>
    <w:multiLevelType w:val="hybridMultilevel"/>
    <w:tmpl w:val="F44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67422"/>
    <w:multiLevelType w:val="hybridMultilevel"/>
    <w:tmpl w:val="37FC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42E1D"/>
    <w:multiLevelType w:val="hybridMultilevel"/>
    <w:tmpl w:val="6F7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C1D2E"/>
    <w:multiLevelType w:val="hybridMultilevel"/>
    <w:tmpl w:val="377A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E5DE2"/>
    <w:multiLevelType w:val="hybridMultilevel"/>
    <w:tmpl w:val="F978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C06D9"/>
    <w:multiLevelType w:val="hybridMultilevel"/>
    <w:tmpl w:val="D2AC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15C69"/>
    <w:multiLevelType w:val="hybridMultilevel"/>
    <w:tmpl w:val="BF500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86F5F"/>
    <w:multiLevelType w:val="hybridMultilevel"/>
    <w:tmpl w:val="CA06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26338"/>
    <w:multiLevelType w:val="hybridMultilevel"/>
    <w:tmpl w:val="4FE0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86492"/>
    <w:multiLevelType w:val="hybridMultilevel"/>
    <w:tmpl w:val="F342A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6047F"/>
    <w:multiLevelType w:val="hybridMultilevel"/>
    <w:tmpl w:val="7056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13B56"/>
    <w:multiLevelType w:val="hybridMultilevel"/>
    <w:tmpl w:val="13F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5831FD"/>
    <w:multiLevelType w:val="hybridMultilevel"/>
    <w:tmpl w:val="2F3A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1C7DE5"/>
    <w:multiLevelType w:val="hybridMultilevel"/>
    <w:tmpl w:val="049C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9"/>
  </w:num>
  <w:num w:numId="5">
    <w:abstractNumId w:val="4"/>
  </w:num>
  <w:num w:numId="6">
    <w:abstractNumId w:val="6"/>
  </w:num>
  <w:num w:numId="7">
    <w:abstractNumId w:val="5"/>
  </w:num>
  <w:num w:numId="8">
    <w:abstractNumId w:val="14"/>
  </w:num>
  <w:num w:numId="9">
    <w:abstractNumId w:val="12"/>
  </w:num>
  <w:num w:numId="10">
    <w:abstractNumId w:val="17"/>
  </w:num>
  <w:num w:numId="11">
    <w:abstractNumId w:val="0"/>
  </w:num>
  <w:num w:numId="12">
    <w:abstractNumId w:val="19"/>
  </w:num>
  <w:num w:numId="13">
    <w:abstractNumId w:val="2"/>
  </w:num>
  <w:num w:numId="14">
    <w:abstractNumId w:val="18"/>
  </w:num>
  <w:num w:numId="15">
    <w:abstractNumId w:val="7"/>
  </w:num>
  <w:num w:numId="16">
    <w:abstractNumId w:val="8"/>
  </w:num>
  <w:num w:numId="17">
    <w:abstractNumId w:val="3"/>
  </w:num>
  <w:num w:numId="18">
    <w:abstractNumId w:val="15"/>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17"/>
    <w:rsid w:val="00005860"/>
    <w:rsid w:val="00014E72"/>
    <w:rsid w:val="00021FF1"/>
    <w:rsid w:val="00024774"/>
    <w:rsid w:val="00055078"/>
    <w:rsid w:val="00062714"/>
    <w:rsid w:val="0006469A"/>
    <w:rsid w:val="00067817"/>
    <w:rsid w:val="00085479"/>
    <w:rsid w:val="000912D2"/>
    <w:rsid w:val="000A431F"/>
    <w:rsid w:val="000A4739"/>
    <w:rsid w:val="000D0DF8"/>
    <w:rsid w:val="000D2EE2"/>
    <w:rsid w:val="000D3172"/>
    <w:rsid w:val="000E2329"/>
    <w:rsid w:val="000E5DDC"/>
    <w:rsid w:val="001353CF"/>
    <w:rsid w:val="001375D2"/>
    <w:rsid w:val="00151155"/>
    <w:rsid w:val="00157113"/>
    <w:rsid w:val="00161429"/>
    <w:rsid w:val="00161838"/>
    <w:rsid w:val="001663D4"/>
    <w:rsid w:val="0017343B"/>
    <w:rsid w:val="001840E8"/>
    <w:rsid w:val="00184F43"/>
    <w:rsid w:val="00186D6A"/>
    <w:rsid w:val="001A33A1"/>
    <w:rsid w:val="001A3B66"/>
    <w:rsid w:val="001B1849"/>
    <w:rsid w:val="001B5A40"/>
    <w:rsid w:val="001C6E84"/>
    <w:rsid w:val="001D1906"/>
    <w:rsid w:val="001D1C70"/>
    <w:rsid w:val="001D52C7"/>
    <w:rsid w:val="001E49C2"/>
    <w:rsid w:val="001F1C58"/>
    <w:rsid w:val="001F50A4"/>
    <w:rsid w:val="00201EBA"/>
    <w:rsid w:val="00211085"/>
    <w:rsid w:val="0021147D"/>
    <w:rsid w:val="00214B65"/>
    <w:rsid w:val="002238A1"/>
    <w:rsid w:val="00225047"/>
    <w:rsid w:val="00227BF0"/>
    <w:rsid w:val="00232840"/>
    <w:rsid w:val="00234550"/>
    <w:rsid w:val="0025759F"/>
    <w:rsid w:val="00264B72"/>
    <w:rsid w:val="00272882"/>
    <w:rsid w:val="002800F4"/>
    <w:rsid w:val="0028376E"/>
    <w:rsid w:val="00286FF0"/>
    <w:rsid w:val="002949F5"/>
    <w:rsid w:val="00294D56"/>
    <w:rsid w:val="00296D0B"/>
    <w:rsid w:val="002A2BE2"/>
    <w:rsid w:val="002B2A08"/>
    <w:rsid w:val="002B7271"/>
    <w:rsid w:val="002C6FAB"/>
    <w:rsid w:val="002D2D11"/>
    <w:rsid w:val="002D5C2E"/>
    <w:rsid w:val="002D663B"/>
    <w:rsid w:val="002D6C2F"/>
    <w:rsid w:val="002E56A0"/>
    <w:rsid w:val="002E61B5"/>
    <w:rsid w:val="002E7869"/>
    <w:rsid w:val="002E7CF2"/>
    <w:rsid w:val="002F1CE5"/>
    <w:rsid w:val="002F2FF0"/>
    <w:rsid w:val="00312ADF"/>
    <w:rsid w:val="00314966"/>
    <w:rsid w:val="00326EC0"/>
    <w:rsid w:val="00332DF5"/>
    <w:rsid w:val="003439B9"/>
    <w:rsid w:val="00350424"/>
    <w:rsid w:val="00356520"/>
    <w:rsid w:val="00357767"/>
    <w:rsid w:val="0036420D"/>
    <w:rsid w:val="0037184F"/>
    <w:rsid w:val="00381178"/>
    <w:rsid w:val="00381DF4"/>
    <w:rsid w:val="00384C54"/>
    <w:rsid w:val="0039411F"/>
    <w:rsid w:val="003A10DE"/>
    <w:rsid w:val="003B5664"/>
    <w:rsid w:val="003C3212"/>
    <w:rsid w:val="003C4FE8"/>
    <w:rsid w:val="003F1DCC"/>
    <w:rsid w:val="003F50F1"/>
    <w:rsid w:val="003F7E78"/>
    <w:rsid w:val="00405F07"/>
    <w:rsid w:val="004067BC"/>
    <w:rsid w:val="00407431"/>
    <w:rsid w:val="00421B94"/>
    <w:rsid w:val="00422582"/>
    <w:rsid w:val="00424614"/>
    <w:rsid w:val="00427643"/>
    <w:rsid w:val="00442D24"/>
    <w:rsid w:val="00443107"/>
    <w:rsid w:val="00445924"/>
    <w:rsid w:val="00447641"/>
    <w:rsid w:val="00452380"/>
    <w:rsid w:val="0047340C"/>
    <w:rsid w:val="004774AD"/>
    <w:rsid w:val="00482412"/>
    <w:rsid w:val="00483FA9"/>
    <w:rsid w:val="00492FAE"/>
    <w:rsid w:val="00497C1A"/>
    <w:rsid w:val="004A1B23"/>
    <w:rsid w:val="004A4862"/>
    <w:rsid w:val="004A6C0F"/>
    <w:rsid w:val="004B4C33"/>
    <w:rsid w:val="004C4128"/>
    <w:rsid w:val="004D10DB"/>
    <w:rsid w:val="004D6AB2"/>
    <w:rsid w:val="004E054C"/>
    <w:rsid w:val="004E5BF4"/>
    <w:rsid w:val="004F312F"/>
    <w:rsid w:val="004F3922"/>
    <w:rsid w:val="004F5002"/>
    <w:rsid w:val="004F55AC"/>
    <w:rsid w:val="00501795"/>
    <w:rsid w:val="00516214"/>
    <w:rsid w:val="00526C31"/>
    <w:rsid w:val="0053693A"/>
    <w:rsid w:val="00536AA6"/>
    <w:rsid w:val="0054091A"/>
    <w:rsid w:val="00541CCC"/>
    <w:rsid w:val="00541EDD"/>
    <w:rsid w:val="00552848"/>
    <w:rsid w:val="00580726"/>
    <w:rsid w:val="005B5CF8"/>
    <w:rsid w:val="005E07B5"/>
    <w:rsid w:val="00613CFE"/>
    <w:rsid w:val="00617A65"/>
    <w:rsid w:val="00625EF6"/>
    <w:rsid w:val="00632E89"/>
    <w:rsid w:val="0063554A"/>
    <w:rsid w:val="0064499B"/>
    <w:rsid w:val="006454E3"/>
    <w:rsid w:val="00657EC7"/>
    <w:rsid w:val="0066234F"/>
    <w:rsid w:val="00671A6F"/>
    <w:rsid w:val="00675546"/>
    <w:rsid w:val="006755A3"/>
    <w:rsid w:val="00675E51"/>
    <w:rsid w:val="006801AE"/>
    <w:rsid w:val="006846C6"/>
    <w:rsid w:val="00692164"/>
    <w:rsid w:val="006A2B38"/>
    <w:rsid w:val="006A4F29"/>
    <w:rsid w:val="006B4B83"/>
    <w:rsid w:val="006E3CF7"/>
    <w:rsid w:val="006F4519"/>
    <w:rsid w:val="00707221"/>
    <w:rsid w:val="007242D9"/>
    <w:rsid w:val="00724DEF"/>
    <w:rsid w:val="00730007"/>
    <w:rsid w:val="007352D0"/>
    <w:rsid w:val="0073613A"/>
    <w:rsid w:val="00760747"/>
    <w:rsid w:val="00763F8B"/>
    <w:rsid w:val="007714BE"/>
    <w:rsid w:val="007746C2"/>
    <w:rsid w:val="00780E6F"/>
    <w:rsid w:val="0078316F"/>
    <w:rsid w:val="00783866"/>
    <w:rsid w:val="007A671C"/>
    <w:rsid w:val="007A721C"/>
    <w:rsid w:val="007B149B"/>
    <w:rsid w:val="007B5E7E"/>
    <w:rsid w:val="007B60D4"/>
    <w:rsid w:val="007B6621"/>
    <w:rsid w:val="007D0465"/>
    <w:rsid w:val="007D10B0"/>
    <w:rsid w:val="007D4C43"/>
    <w:rsid w:val="007E32CC"/>
    <w:rsid w:val="007F12B2"/>
    <w:rsid w:val="007F5ED3"/>
    <w:rsid w:val="007F6C76"/>
    <w:rsid w:val="0080743C"/>
    <w:rsid w:val="00810813"/>
    <w:rsid w:val="00813DD5"/>
    <w:rsid w:val="00825FFA"/>
    <w:rsid w:val="00826F42"/>
    <w:rsid w:val="0083074E"/>
    <w:rsid w:val="00832BF4"/>
    <w:rsid w:val="00835917"/>
    <w:rsid w:val="00835F38"/>
    <w:rsid w:val="00837AEB"/>
    <w:rsid w:val="00844F4E"/>
    <w:rsid w:val="008605BE"/>
    <w:rsid w:val="00861D67"/>
    <w:rsid w:val="00864A91"/>
    <w:rsid w:val="00866DD8"/>
    <w:rsid w:val="00874D1D"/>
    <w:rsid w:val="00875066"/>
    <w:rsid w:val="00892CBE"/>
    <w:rsid w:val="008935BB"/>
    <w:rsid w:val="00896A74"/>
    <w:rsid w:val="008A5500"/>
    <w:rsid w:val="008A7219"/>
    <w:rsid w:val="008C54D7"/>
    <w:rsid w:val="008D43C6"/>
    <w:rsid w:val="008E7BAE"/>
    <w:rsid w:val="008F0D32"/>
    <w:rsid w:val="00905AB2"/>
    <w:rsid w:val="00923010"/>
    <w:rsid w:val="00927FF2"/>
    <w:rsid w:val="0093295B"/>
    <w:rsid w:val="0094117B"/>
    <w:rsid w:val="009418A6"/>
    <w:rsid w:val="009436C1"/>
    <w:rsid w:val="00943F52"/>
    <w:rsid w:val="00946548"/>
    <w:rsid w:val="00963B78"/>
    <w:rsid w:val="0097144E"/>
    <w:rsid w:val="00980EF6"/>
    <w:rsid w:val="00987584"/>
    <w:rsid w:val="00987F26"/>
    <w:rsid w:val="00994301"/>
    <w:rsid w:val="00996206"/>
    <w:rsid w:val="00996F1A"/>
    <w:rsid w:val="009B1691"/>
    <w:rsid w:val="009B67AE"/>
    <w:rsid w:val="009C2C9C"/>
    <w:rsid w:val="009E06BB"/>
    <w:rsid w:val="009E4BB8"/>
    <w:rsid w:val="009F0266"/>
    <w:rsid w:val="009F4740"/>
    <w:rsid w:val="009F61D1"/>
    <w:rsid w:val="00A02A22"/>
    <w:rsid w:val="00A074ED"/>
    <w:rsid w:val="00A11690"/>
    <w:rsid w:val="00A16087"/>
    <w:rsid w:val="00A22B51"/>
    <w:rsid w:val="00A42FD2"/>
    <w:rsid w:val="00A43D55"/>
    <w:rsid w:val="00A44547"/>
    <w:rsid w:val="00A44888"/>
    <w:rsid w:val="00A54FCE"/>
    <w:rsid w:val="00A56D7F"/>
    <w:rsid w:val="00A839A4"/>
    <w:rsid w:val="00AB4802"/>
    <w:rsid w:val="00AB5F25"/>
    <w:rsid w:val="00AB6042"/>
    <w:rsid w:val="00AD3E0B"/>
    <w:rsid w:val="00AE5FFA"/>
    <w:rsid w:val="00AF260A"/>
    <w:rsid w:val="00AF37B8"/>
    <w:rsid w:val="00B118D0"/>
    <w:rsid w:val="00B200B5"/>
    <w:rsid w:val="00B314B0"/>
    <w:rsid w:val="00B3292B"/>
    <w:rsid w:val="00B6314E"/>
    <w:rsid w:val="00B67351"/>
    <w:rsid w:val="00B74FF8"/>
    <w:rsid w:val="00B75F0A"/>
    <w:rsid w:val="00B8504C"/>
    <w:rsid w:val="00B93062"/>
    <w:rsid w:val="00BA3370"/>
    <w:rsid w:val="00BA62BA"/>
    <w:rsid w:val="00BB0165"/>
    <w:rsid w:val="00BC2BCB"/>
    <w:rsid w:val="00BC6C72"/>
    <w:rsid w:val="00BD5BE3"/>
    <w:rsid w:val="00BD6B27"/>
    <w:rsid w:val="00BD6D13"/>
    <w:rsid w:val="00BE1148"/>
    <w:rsid w:val="00BE6854"/>
    <w:rsid w:val="00C00FC2"/>
    <w:rsid w:val="00C15550"/>
    <w:rsid w:val="00C265B9"/>
    <w:rsid w:val="00C26694"/>
    <w:rsid w:val="00C31EA0"/>
    <w:rsid w:val="00C460B5"/>
    <w:rsid w:val="00C55EBE"/>
    <w:rsid w:val="00C6298E"/>
    <w:rsid w:val="00C653A3"/>
    <w:rsid w:val="00C67DFF"/>
    <w:rsid w:val="00C728FE"/>
    <w:rsid w:val="00C73D84"/>
    <w:rsid w:val="00C76519"/>
    <w:rsid w:val="00C809AF"/>
    <w:rsid w:val="00C813EA"/>
    <w:rsid w:val="00C85E19"/>
    <w:rsid w:val="00C93924"/>
    <w:rsid w:val="00C95AFF"/>
    <w:rsid w:val="00C96822"/>
    <w:rsid w:val="00C970CA"/>
    <w:rsid w:val="00CA294D"/>
    <w:rsid w:val="00CA5049"/>
    <w:rsid w:val="00CA6866"/>
    <w:rsid w:val="00CB3074"/>
    <w:rsid w:val="00CB37E8"/>
    <w:rsid w:val="00CC0EB8"/>
    <w:rsid w:val="00CC114C"/>
    <w:rsid w:val="00CD0884"/>
    <w:rsid w:val="00CD08B1"/>
    <w:rsid w:val="00CD435C"/>
    <w:rsid w:val="00CE10FD"/>
    <w:rsid w:val="00CE14A9"/>
    <w:rsid w:val="00CE315A"/>
    <w:rsid w:val="00CF7B0D"/>
    <w:rsid w:val="00D03739"/>
    <w:rsid w:val="00D10E2B"/>
    <w:rsid w:val="00D32418"/>
    <w:rsid w:val="00D34079"/>
    <w:rsid w:val="00D437F1"/>
    <w:rsid w:val="00D440E3"/>
    <w:rsid w:val="00D521AA"/>
    <w:rsid w:val="00D54D22"/>
    <w:rsid w:val="00D61549"/>
    <w:rsid w:val="00D617C7"/>
    <w:rsid w:val="00D65831"/>
    <w:rsid w:val="00D71FB6"/>
    <w:rsid w:val="00D75C3D"/>
    <w:rsid w:val="00D841B3"/>
    <w:rsid w:val="00D95BF8"/>
    <w:rsid w:val="00D96F13"/>
    <w:rsid w:val="00DA04E3"/>
    <w:rsid w:val="00DA11EB"/>
    <w:rsid w:val="00DA3B26"/>
    <w:rsid w:val="00DA6900"/>
    <w:rsid w:val="00DA7631"/>
    <w:rsid w:val="00DA7EC4"/>
    <w:rsid w:val="00DC34BF"/>
    <w:rsid w:val="00DD37C6"/>
    <w:rsid w:val="00DF1001"/>
    <w:rsid w:val="00E003F3"/>
    <w:rsid w:val="00E012F5"/>
    <w:rsid w:val="00E072B6"/>
    <w:rsid w:val="00E10311"/>
    <w:rsid w:val="00E10AEB"/>
    <w:rsid w:val="00E34AE9"/>
    <w:rsid w:val="00E41BDE"/>
    <w:rsid w:val="00E5121B"/>
    <w:rsid w:val="00E53A0F"/>
    <w:rsid w:val="00E5726C"/>
    <w:rsid w:val="00E832CD"/>
    <w:rsid w:val="00E86265"/>
    <w:rsid w:val="00E86BC2"/>
    <w:rsid w:val="00EA244B"/>
    <w:rsid w:val="00EA2881"/>
    <w:rsid w:val="00EB70FD"/>
    <w:rsid w:val="00EC0A92"/>
    <w:rsid w:val="00EC2EEA"/>
    <w:rsid w:val="00EC4C34"/>
    <w:rsid w:val="00ED43F5"/>
    <w:rsid w:val="00EE471F"/>
    <w:rsid w:val="00EF574C"/>
    <w:rsid w:val="00F031C1"/>
    <w:rsid w:val="00F15AAB"/>
    <w:rsid w:val="00F4280B"/>
    <w:rsid w:val="00F47535"/>
    <w:rsid w:val="00F4771B"/>
    <w:rsid w:val="00F50872"/>
    <w:rsid w:val="00F52045"/>
    <w:rsid w:val="00F524F3"/>
    <w:rsid w:val="00F61AD8"/>
    <w:rsid w:val="00F67F9C"/>
    <w:rsid w:val="00F72257"/>
    <w:rsid w:val="00F9213C"/>
    <w:rsid w:val="00F94119"/>
    <w:rsid w:val="00FB45C8"/>
    <w:rsid w:val="00FC19B1"/>
    <w:rsid w:val="00FD5ABE"/>
    <w:rsid w:val="00FD6D3B"/>
    <w:rsid w:val="00FE08C4"/>
    <w:rsid w:val="00FE14A5"/>
    <w:rsid w:val="00FF4CD3"/>
    <w:rsid w:val="060F1D81"/>
    <w:rsid w:val="06195D11"/>
    <w:rsid w:val="070C4D83"/>
    <w:rsid w:val="0BD50B1B"/>
    <w:rsid w:val="11B9E02E"/>
    <w:rsid w:val="12971EE6"/>
    <w:rsid w:val="1B54F168"/>
    <w:rsid w:val="1B6D0B98"/>
    <w:rsid w:val="1BE35CAB"/>
    <w:rsid w:val="1E92C47F"/>
    <w:rsid w:val="21AAC0F8"/>
    <w:rsid w:val="2386DAAC"/>
    <w:rsid w:val="29B945AD"/>
    <w:rsid w:val="2B75A5DF"/>
    <w:rsid w:val="2D7180D4"/>
    <w:rsid w:val="30D70E41"/>
    <w:rsid w:val="36F592A2"/>
    <w:rsid w:val="39803991"/>
    <w:rsid w:val="3BD9A2C7"/>
    <w:rsid w:val="3CEEE458"/>
    <w:rsid w:val="3EB4B556"/>
    <w:rsid w:val="3FA4BB5D"/>
    <w:rsid w:val="40BF7736"/>
    <w:rsid w:val="41D9810E"/>
    <w:rsid w:val="48D3440C"/>
    <w:rsid w:val="4E67F592"/>
    <w:rsid w:val="4EE8715E"/>
    <w:rsid w:val="528FEE35"/>
    <w:rsid w:val="539CDD46"/>
    <w:rsid w:val="579AA829"/>
    <w:rsid w:val="5A67BB56"/>
    <w:rsid w:val="5CF015F2"/>
    <w:rsid w:val="5F472C70"/>
    <w:rsid w:val="62211CEE"/>
    <w:rsid w:val="72CA66B7"/>
    <w:rsid w:val="73FBF12A"/>
    <w:rsid w:val="745EF01B"/>
    <w:rsid w:val="76F469A7"/>
    <w:rsid w:val="7785CF19"/>
    <w:rsid w:val="778C61D4"/>
    <w:rsid w:val="782034E0"/>
    <w:rsid w:val="78D89651"/>
    <w:rsid w:val="7C993EFD"/>
    <w:rsid w:val="7CEF1A75"/>
    <w:rsid w:val="7DC3FCC4"/>
    <w:rsid w:val="7FFE8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C7A5"/>
  <w15:docId w15:val="{9C578F57-1C0A-47AD-A8B9-08F9B8B2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5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BF0"/>
  </w:style>
  <w:style w:type="paragraph" w:styleId="Footer">
    <w:name w:val="footer"/>
    <w:basedOn w:val="Normal"/>
    <w:link w:val="FooterChar"/>
    <w:uiPriority w:val="99"/>
    <w:unhideWhenUsed/>
    <w:rsid w:val="00227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BF0"/>
  </w:style>
  <w:style w:type="paragraph" w:styleId="ListParagraph">
    <w:name w:val="List Paragraph"/>
    <w:basedOn w:val="Normal"/>
    <w:uiPriority w:val="34"/>
    <w:qFormat/>
    <w:rsid w:val="002D663B"/>
    <w:pPr>
      <w:ind w:left="720"/>
      <w:contextualSpacing/>
    </w:pPr>
  </w:style>
  <w:style w:type="character" w:styleId="Hyperlink">
    <w:name w:val="Hyperlink"/>
    <w:basedOn w:val="DefaultParagraphFont"/>
    <w:uiPriority w:val="99"/>
    <w:unhideWhenUsed/>
    <w:rsid w:val="002D663B"/>
    <w:rPr>
      <w:color w:val="0563C1" w:themeColor="hyperlink"/>
      <w:u w:val="single"/>
    </w:rPr>
  </w:style>
  <w:style w:type="paragraph" w:styleId="BalloonText">
    <w:name w:val="Balloon Text"/>
    <w:basedOn w:val="Normal"/>
    <w:link w:val="BalloonTextChar"/>
    <w:uiPriority w:val="99"/>
    <w:semiHidden/>
    <w:unhideWhenUsed/>
    <w:rsid w:val="00B3292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3292B"/>
    <w:rPr>
      <w:rFonts w:ascii="Lucida Grande" w:hAnsi="Lucida Grande"/>
      <w:sz w:val="18"/>
      <w:szCs w:val="18"/>
    </w:rPr>
  </w:style>
  <w:style w:type="table" w:styleId="TableGrid">
    <w:name w:val="Table Grid"/>
    <w:basedOn w:val="TableNormal"/>
    <w:uiPriority w:val="39"/>
    <w:rsid w:val="0058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504C"/>
    <w:rPr>
      <w:sz w:val="18"/>
      <w:szCs w:val="18"/>
    </w:rPr>
  </w:style>
  <w:style w:type="paragraph" w:styleId="CommentText">
    <w:name w:val="annotation text"/>
    <w:basedOn w:val="Normal"/>
    <w:link w:val="CommentTextChar"/>
    <w:uiPriority w:val="99"/>
    <w:semiHidden/>
    <w:unhideWhenUsed/>
    <w:rsid w:val="00B8504C"/>
    <w:pPr>
      <w:spacing w:line="240" w:lineRule="auto"/>
    </w:pPr>
    <w:rPr>
      <w:sz w:val="24"/>
      <w:szCs w:val="24"/>
    </w:rPr>
  </w:style>
  <w:style w:type="character" w:customStyle="1" w:styleId="CommentTextChar">
    <w:name w:val="Comment Text Char"/>
    <w:basedOn w:val="DefaultParagraphFont"/>
    <w:link w:val="CommentText"/>
    <w:uiPriority w:val="99"/>
    <w:semiHidden/>
    <w:rsid w:val="00B8504C"/>
    <w:rPr>
      <w:sz w:val="24"/>
      <w:szCs w:val="24"/>
    </w:rPr>
  </w:style>
  <w:style w:type="paragraph" w:styleId="CommentSubject">
    <w:name w:val="annotation subject"/>
    <w:basedOn w:val="CommentText"/>
    <w:next w:val="CommentText"/>
    <w:link w:val="CommentSubjectChar"/>
    <w:uiPriority w:val="99"/>
    <w:semiHidden/>
    <w:unhideWhenUsed/>
    <w:rsid w:val="00B8504C"/>
    <w:rPr>
      <w:b/>
      <w:bCs/>
      <w:sz w:val="20"/>
      <w:szCs w:val="20"/>
    </w:rPr>
  </w:style>
  <w:style w:type="character" w:customStyle="1" w:styleId="CommentSubjectChar">
    <w:name w:val="Comment Subject Char"/>
    <w:basedOn w:val="CommentTextChar"/>
    <w:link w:val="CommentSubject"/>
    <w:uiPriority w:val="99"/>
    <w:semiHidden/>
    <w:rsid w:val="00B8504C"/>
    <w:rPr>
      <w:b/>
      <w:bCs/>
      <w:sz w:val="20"/>
      <w:szCs w:val="20"/>
    </w:rPr>
  </w:style>
  <w:style w:type="paragraph" w:styleId="NoSpacing">
    <w:name w:val="No Spacing"/>
    <w:link w:val="NoSpacingChar"/>
    <w:uiPriority w:val="1"/>
    <w:qFormat/>
    <w:rsid w:val="00C85E19"/>
    <w:pPr>
      <w:spacing w:after="0" w:line="240" w:lineRule="auto"/>
    </w:pPr>
    <w:rPr>
      <w:rFonts w:eastAsiaTheme="minorEastAsia"/>
    </w:rPr>
  </w:style>
  <w:style w:type="character" w:customStyle="1" w:styleId="NoSpacingChar">
    <w:name w:val="No Spacing Char"/>
    <w:basedOn w:val="DefaultParagraphFont"/>
    <w:link w:val="NoSpacing"/>
    <w:uiPriority w:val="1"/>
    <w:rsid w:val="00C85E19"/>
    <w:rPr>
      <w:rFonts w:eastAsiaTheme="minorEastAsia"/>
    </w:rPr>
  </w:style>
  <w:style w:type="paragraph" w:styleId="Title">
    <w:name w:val="Title"/>
    <w:basedOn w:val="Normal"/>
    <w:next w:val="Normal"/>
    <w:link w:val="TitleChar"/>
    <w:uiPriority w:val="10"/>
    <w:qFormat/>
    <w:rsid w:val="00BD5B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B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5BE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D5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5BE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16214"/>
    <w:rPr>
      <w:color w:val="954F72" w:themeColor="followedHyperlink"/>
      <w:u w:val="single"/>
    </w:rPr>
  </w:style>
  <w:style w:type="paragraph" w:styleId="TOCHeading">
    <w:name w:val="TOC Heading"/>
    <w:basedOn w:val="Heading1"/>
    <w:next w:val="Normal"/>
    <w:uiPriority w:val="39"/>
    <w:unhideWhenUsed/>
    <w:qFormat/>
    <w:rsid w:val="0006469A"/>
    <w:pPr>
      <w:outlineLvl w:val="9"/>
    </w:pPr>
  </w:style>
  <w:style w:type="paragraph" w:styleId="TOC1">
    <w:name w:val="toc 1"/>
    <w:basedOn w:val="Normal"/>
    <w:next w:val="Normal"/>
    <w:autoRedefine/>
    <w:uiPriority w:val="39"/>
    <w:unhideWhenUsed/>
    <w:rsid w:val="0006469A"/>
    <w:pPr>
      <w:spacing w:after="100"/>
    </w:pPr>
  </w:style>
  <w:style w:type="character" w:styleId="Emphasis">
    <w:name w:val="Emphasis"/>
    <w:basedOn w:val="DefaultParagraphFont"/>
    <w:uiPriority w:val="20"/>
    <w:qFormat/>
    <w:rsid w:val="0093295B"/>
    <w:rPr>
      <w:i/>
      <w:iCs/>
    </w:rPr>
  </w:style>
  <w:style w:type="character" w:styleId="UnresolvedMention">
    <w:name w:val="Unresolved Mention"/>
    <w:basedOn w:val="DefaultParagraphFont"/>
    <w:uiPriority w:val="99"/>
    <w:semiHidden/>
    <w:unhideWhenUsed/>
    <w:rsid w:val="00CE315A"/>
    <w:rPr>
      <w:color w:val="605E5C"/>
      <w:shd w:val="clear" w:color="auto" w:fill="E1DFDD"/>
    </w:rPr>
  </w:style>
  <w:style w:type="character" w:customStyle="1" w:styleId="QuoteChar">
    <w:name w:val="Quote Char"/>
    <w:basedOn w:val="DefaultParagraphFont"/>
    <w:link w:val="Quote"/>
    <w:uiPriority w:val="29"/>
    <w:rsid w:val="00B75F0A"/>
    <w:rPr>
      <w:i/>
      <w:iCs/>
      <w:color w:val="404040" w:themeColor="text1" w:themeTint="BF"/>
    </w:rPr>
  </w:style>
  <w:style w:type="paragraph" w:styleId="Quote">
    <w:name w:val="Quote"/>
    <w:basedOn w:val="Normal"/>
    <w:next w:val="Normal"/>
    <w:link w:val="QuoteChar"/>
    <w:uiPriority w:val="29"/>
    <w:qFormat/>
    <w:rsid w:val="00B75F0A"/>
    <w:pPr>
      <w:pBdr>
        <w:top w:val="single" w:sz="24" w:space="3" w:color="4472C4" w:themeColor="accent5"/>
        <w:bottom w:val="single" w:sz="24" w:space="3" w:color="4472C4" w:themeColor="accent5"/>
      </w:pBdr>
      <w:spacing w:before="20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7955">
      <w:bodyDiv w:val="1"/>
      <w:marLeft w:val="0"/>
      <w:marRight w:val="0"/>
      <w:marTop w:val="0"/>
      <w:marBottom w:val="0"/>
      <w:divBdr>
        <w:top w:val="none" w:sz="0" w:space="0" w:color="auto"/>
        <w:left w:val="none" w:sz="0" w:space="0" w:color="auto"/>
        <w:bottom w:val="none" w:sz="0" w:space="0" w:color="auto"/>
        <w:right w:val="none" w:sz="0" w:space="0" w:color="auto"/>
      </w:divBdr>
    </w:div>
    <w:div w:id="142162386">
      <w:bodyDiv w:val="1"/>
      <w:marLeft w:val="0"/>
      <w:marRight w:val="0"/>
      <w:marTop w:val="0"/>
      <w:marBottom w:val="0"/>
      <w:divBdr>
        <w:top w:val="none" w:sz="0" w:space="0" w:color="auto"/>
        <w:left w:val="none" w:sz="0" w:space="0" w:color="auto"/>
        <w:bottom w:val="none" w:sz="0" w:space="0" w:color="auto"/>
        <w:right w:val="none" w:sz="0" w:space="0" w:color="auto"/>
      </w:divBdr>
    </w:div>
    <w:div w:id="284628245">
      <w:bodyDiv w:val="1"/>
      <w:marLeft w:val="0"/>
      <w:marRight w:val="0"/>
      <w:marTop w:val="0"/>
      <w:marBottom w:val="0"/>
      <w:divBdr>
        <w:top w:val="none" w:sz="0" w:space="0" w:color="auto"/>
        <w:left w:val="none" w:sz="0" w:space="0" w:color="auto"/>
        <w:bottom w:val="none" w:sz="0" w:space="0" w:color="auto"/>
        <w:right w:val="none" w:sz="0" w:space="0" w:color="auto"/>
      </w:divBdr>
    </w:div>
    <w:div w:id="633146165">
      <w:bodyDiv w:val="1"/>
      <w:marLeft w:val="0"/>
      <w:marRight w:val="0"/>
      <w:marTop w:val="0"/>
      <w:marBottom w:val="0"/>
      <w:divBdr>
        <w:top w:val="none" w:sz="0" w:space="0" w:color="auto"/>
        <w:left w:val="none" w:sz="0" w:space="0" w:color="auto"/>
        <w:bottom w:val="none" w:sz="0" w:space="0" w:color="auto"/>
        <w:right w:val="none" w:sz="0" w:space="0" w:color="auto"/>
      </w:divBdr>
    </w:div>
    <w:div w:id="759062422">
      <w:bodyDiv w:val="1"/>
      <w:marLeft w:val="0"/>
      <w:marRight w:val="0"/>
      <w:marTop w:val="0"/>
      <w:marBottom w:val="0"/>
      <w:divBdr>
        <w:top w:val="none" w:sz="0" w:space="0" w:color="auto"/>
        <w:left w:val="none" w:sz="0" w:space="0" w:color="auto"/>
        <w:bottom w:val="none" w:sz="0" w:space="0" w:color="auto"/>
        <w:right w:val="none" w:sz="0" w:space="0" w:color="auto"/>
      </w:divBdr>
    </w:div>
    <w:div w:id="1119490925">
      <w:bodyDiv w:val="1"/>
      <w:marLeft w:val="0"/>
      <w:marRight w:val="0"/>
      <w:marTop w:val="0"/>
      <w:marBottom w:val="0"/>
      <w:divBdr>
        <w:top w:val="none" w:sz="0" w:space="0" w:color="auto"/>
        <w:left w:val="none" w:sz="0" w:space="0" w:color="auto"/>
        <w:bottom w:val="none" w:sz="0" w:space="0" w:color="auto"/>
        <w:right w:val="none" w:sz="0" w:space="0" w:color="auto"/>
      </w:divBdr>
    </w:div>
    <w:div w:id="1184518885">
      <w:bodyDiv w:val="1"/>
      <w:marLeft w:val="0"/>
      <w:marRight w:val="0"/>
      <w:marTop w:val="0"/>
      <w:marBottom w:val="0"/>
      <w:divBdr>
        <w:top w:val="none" w:sz="0" w:space="0" w:color="auto"/>
        <w:left w:val="none" w:sz="0" w:space="0" w:color="auto"/>
        <w:bottom w:val="none" w:sz="0" w:space="0" w:color="auto"/>
        <w:right w:val="none" w:sz="0" w:space="0" w:color="auto"/>
      </w:divBdr>
    </w:div>
    <w:div w:id="1228496928">
      <w:bodyDiv w:val="1"/>
      <w:marLeft w:val="0"/>
      <w:marRight w:val="0"/>
      <w:marTop w:val="0"/>
      <w:marBottom w:val="0"/>
      <w:divBdr>
        <w:top w:val="none" w:sz="0" w:space="0" w:color="auto"/>
        <w:left w:val="none" w:sz="0" w:space="0" w:color="auto"/>
        <w:bottom w:val="none" w:sz="0" w:space="0" w:color="auto"/>
        <w:right w:val="none" w:sz="0" w:space="0" w:color="auto"/>
      </w:divBdr>
    </w:div>
    <w:div w:id="1593704536">
      <w:bodyDiv w:val="1"/>
      <w:marLeft w:val="0"/>
      <w:marRight w:val="0"/>
      <w:marTop w:val="0"/>
      <w:marBottom w:val="0"/>
      <w:divBdr>
        <w:top w:val="none" w:sz="0" w:space="0" w:color="auto"/>
        <w:left w:val="none" w:sz="0" w:space="0" w:color="auto"/>
        <w:bottom w:val="none" w:sz="0" w:space="0" w:color="auto"/>
        <w:right w:val="none" w:sz="0" w:space="0" w:color="auto"/>
      </w:divBdr>
    </w:div>
    <w:div w:id="20149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ffordablelearninggeorgia.org/about/r13_grantees" TargetMode="External"/><Relationship Id="rId18" Type="http://schemas.openxmlformats.org/officeDocument/2006/relationships/chart" Target="charts/chart2.xml"/><Relationship Id="Ra9cea23c6d7f4ccc"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ffordablelearninggeorgia.org/about/r12_grantees/"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penedgroup.org/cou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er.galileo.usg.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ffordablelearninggeorgia.org/about/r14_grante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Changes in Student Perceptions by Completed Grant</c:v>
                </c:pt>
              </c:strCache>
            </c:strRef>
          </c:tx>
          <c:dPt>
            <c:idx val="0"/>
            <c:bubble3D val="0"/>
            <c:spPr>
              <a:solidFill>
                <a:schemeClr val="accent1">
                  <a:shade val="76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C2-44B0-8F54-886D0F710C3A}"/>
              </c:ext>
            </c:extLst>
          </c:dPt>
          <c:dPt>
            <c:idx val="1"/>
            <c:bubble3D val="0"/>
            <c:spPr>
              <a:solidFill>
                <a:schemeClr val="accent1">
                  <a:tint val="77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253-4A69-B3FE-12F14EA29CE4}"/>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6="http://schemas.microsoft.com/office/drawing/2014/chart" uri="{C3380CC4-5D6E-409C-BE32-E72D297353CC}">
                  <c16:uniqueId val="{00000003-6253-4A69-B3FE-12F14EA29CE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Sheet1!$A$2:$A$3</c:f>
              <c:strCache>
                <c:ptCount val="2"/>
                <c:pt idx="0">
                  <c:v>Neutral</c:v>
                </c:pt>
                <c:pt idx="1">
                  <c:v>Positive</c:v>
                </c:pt>
              </c:strCache>
            </c:strRef>
          </c:cat>
          <c:val>
            <c:numRef>
              <c:f>Sheet1!$B$2:$B$3</c:f>
              <c:numCache>
                <c:formatCode>0.00%</c:formatCode>
                <c:ptCount val="2"/>
                <c:pt idx="0">
                  <c:v>0.18179999999999999</c:v>
                </c:pt>
                <c:pt idx="1">
                  <c:v>0.81820000000000004</c:v>
                </c:pt>
              </c:numCache>
            </c:numRef>
          </c:val>
          <c:extLst>
            <c:ext xmlns:c16="http://schemas.microsoft.com/office/drawing/2014/chart" uri="{C3380CC4-5D6E-409C-BE32-E72D297353CC}">
              <c16:uniqueId val="{00000000-9AC2-44B0-8F54-886D0F710C3A}"/>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Changes in Achievement of Student Learning Outcomes by Completed Grant</c:v>
                </c:pt>
              </c:strCache>
            </c:strRef>
          </c:tx>
          <c:dPt>
            <c:idx val="0"/>
            <c:bubble3D val="0"/>
            <c:spPr>
              <a:solidFill>
                <a:schemeClr val="accent1">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FA9-44BB-A9CB-7E884DBA0571}"/>
              </c:ext>
            </c:extLst>
          </c:dPt>
          <c:dPt>
            <c:idx val="1"/>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CE0-458F-BCA3-D8D1CA87CA18}"/>
              </c:ext>
            </c:extLst>
          </c:dPt>
          <c:dPt>
            <c:idx val="2"/>
            <c:bubble3D val="0"/>
            <c:spPr>
              <a:solidFill>
                <a:schemeClr val="accent1">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CE0-458F-BCA3-D8D1CA87CA18}"/>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a:solidFill>
                          <a:schemeClr val="bg1"/>
                        </a:solidFill>
                      </a:rPr>
                      <a:t>Negative,</a:t>
                    </a:r>
                    <a:r>
                      <a:rPr lang="en-US" baseline="0">
                        <a:solidFill>
                          <a:schemeClr val="bg1"/>
                        </a:solidFill>
                      </a:rPr>
                      <a:t> </a:t>
                    </a:r>
                    <a:fld id="{457A2B52-D22C-40F5-9111-C7A5A38281FA}" type="PERCENTAGE">
                      <a:rPr lang="en-US">
                        <a:solidFill>
                          <a:schemeClr val="bg1"/>
                        </a:solidFill>
                      </a:rPr>
                      <a:pPr>
                        <a:defRPr>
                          <a:solidFill>
                            <a:schemeClr val="bg1"/>
                          </a:solidFill>
                        </a:defRPr>
                      </a:pPr>
                      <a:t>[PERCENTAGE]</a:t>
                    </a:fld>
                    <a:endParaRPr lang="en-US"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A9-44BB-A9CB-7E884DBA0571}"/>
                </c:ext>
              </c:extLst>
            </c:dLbl>
            <c:dLbl>
              <c:idx val="1"/>
              <c:tx>
                <c:rich>
                  <a:bodyPr/>
                  <a:lstStyle/>
                  <a:p>
                    <a:r>
                      <a:rPr lang="en-US"/>
                      <a:t>Neutral,</a:t>
                    </a:r>
                    <a:r>
                      <a:rPr lang="en-US" baseline="0"/>
                      <a:t> 33%</a:t>
                    </a:r>
                    <a:endParaRPr lang="en-US"/>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CE0-458F-BCA3-D8D1CA87CA18}"/>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r>
                      <a:rPr lang="en-US">
                        <a:solidFill>
                          <a:schemeClr val="tx1"/>
                        </a:solidFill>
                      </a:rPr>
                      <a:t>Positive, </a:t>
                    </a:r>
                    <a:fld id="{9A0C3F8E-3B05-40F2-B077-EF852196D360}" type="PERCENTAGE">
                      <a:rPr lang="en-US">
                        <a:solidFill>
                          <a:schemeClr val="tx1"/>
                        </a:solidFill>
                      </a:rPr>
                      <a:pPr>
                        <a:defRPr>
                          <a:solidFill>
                            <a:schemeClr val="tx1"/>
                          </a:solidFill>
                        </a:defRPr>
                      </a:pPr>
                      <a:t>[PERCENTAGE]</a:t>
                    </a:fld>
                    <a:endParaRPr lang="en-US">
                      <a:solidFill>
                        <a:schemeClr val="tx1"/>
                      </a:solidFill>
                    </a:endParaRP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CE0-458F-BCA3-D8D1CA87CA1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Negative</c:v>
                </c:pt>
                <c:pt idx="1">
                  <c:v>Neutral</c:v>
                </c:pt>
                <c:pt idx="2">
                  <c:v>Positive</c:v>
                </c:pt>
              </c:strCache>
            </c:strRef>
          </c:cat>
          <c:val>
            <c:numRef>
              <c:f>Sheet1!$B$2:$B$4</c:f>
              <c:numCache>
                <c:formatCode>0.00%</c:formatCode>
                <c:ptCount val="3"/>
                <c:pt idx="0">
                  <c:v>0.1429</c:v>
                </c:pt>
                <c:pt idx="1">
                  <c:v>0.33329999999999999</c:v>
                </c:pt>
                <c:pt idx="2">
                  <c:v>0.52380000000000004</c:v>
                </c:pt>
              </c:numCache>
            </c:numRef>
          </c:val>
          <c:extLst>
            <c:ext xmlns:c16="http://schemas.microsoft.com/office/drawing/2014/chart" uri="{C3380CC4-5D6E-409C-BE32-E72D297353CC}">
              <c16:uniqueId val="{00000000-9FA9-44BB-A9CB-7E884DBA0571}"/>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800" b="1"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Changes in Student Retention (DFW) by Completed Grant</c:v>
                </c:pt>
              </c:strCache>
            </c:strRef>
          </c:tx>
          <c:dPt>
            <c:idx val="0"/>
            <c:bubble3D val="0"/>
            <c:spPr>
              <a:solidFill>
                <a:schemeClr val="accent1">
                  <a:shade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181-435E-A97F-4256BF9D5D2E}"/>
              </c:ext>
            </c:extLst>
          </c:dPt>
          <c:dPt>
            <c:idx val="1"/>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181-435E-A97F-4256BF9D5D2E}"/>
              </c:ext>
            </c:extLst>
          </c:dPt>
          <c:dPt>
            <c:idx val="2"/>
            <c:bubble3D val="0"/>
            <c:spPr>
              <a:solidFill>
                <a:schemeClr val="accent1">
                  <a:tint val="65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181-435E-A97F-4256BF9D5D2E}"/>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r>
                      <a:rPr lang="en-US">
                        <a:solidFill>
                          <a:schemeClr val="bg1"/>
                        </a:solidFill>
                      </a:rPr>
                      <a:t>Negative, 14%</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81-435E-A97F-4256BF9D5D2E}"/>
                </c:ext>
              </c:extLst>
            </c:dLbl>
            <c:dLbl>
              <c:idx val="1"/>
              <c:tx>
                <c:rich>
                  <a:bodyPr/>
                  <a:lstStyle/>
                  <a:p>
                    <a:r>
                      <a:rPr lang="en-US"/>
                      <a:t>Neutral,</a:t>
                    </a:r>
                    <a:r>
                      <a:rPr lang="en-US" baseline="0"/>
                      <a:t> </a:t>
                    </a:r>
                    <a:fld id="{61989421-5803-4647-9E68-DF48BC590D0E}" type="PERCENTAGE">
                      <a:rPr lang="en-US"/>
                      <a:pPr/>
                      <a:t>[PERCENTAGE]</a:t>
                    </a:fld>
                    <a:endParaRPr lang="en-US" baseline="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181-435E-A97F-4256BF9D5D2E}"/>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r>
                      <a:rPr lang="en-US"/>
                      <a:t>Positive, 62%</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181-435E-A97F-4256BF9D5D2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Negative</c:v>
                </c:pt>
                <c:pt idx="1">
                  <c:v>Neutral</c:v>
                </c:pt>
                <c:pt idx="2">
                  <c:v>Positive</c:v>
                </c:pt>
              </c:strCache>
            </c:strRef>
          </c:cat>
          <c:val>
            <c:numRef>
              <c:f>Sheet1!$B$2:$B$4</c:f>
              <c:numCache>
                <c:formatCode>0.00%</c:formatCode>
                <c:ptCount val="3"/>
                <c:pt idx="0">
                  <c:v>0.1429</c:v>
                </c:pt>
                <c:pt idx="1">
                  <c:v>0.23810000000000001</c:v>
                </c:pt>
                <c:pt idx="2">
                  <c:v>0.61899999999999999</c:v>
                </c:pt>
              </c:numCache>
            </c:numRef>
          </c:val>
          <c:extLst>
            <c:ext xmlns:c16="http://schemas.microsoft.com/office/drawing/2014/chart" uri="{C3380CC4-5D6E-409C-BE32-E72D297353CC}">
              <c16:uniqueId val="{00000006-2181-435E-A97F-4256BF9D5D2E}"/>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2" ma:contentTypeDescription="Create a new document." ma:contentTypeScope="" ma:versionID="3ba740bbfea08ad42b5fb892d4577724">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f7fd287cc537a47f0d39eda5b7439aef"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ACF1-79E6-4305-A50E-DAC04E4B7E34}">
  <ds:schemaRefs>
    <ds:schemaRef ds:uri="http://schemas.microsoft.com/office/infopath/2007/PartnerControls"/>
    <ds:schemaRef ds:uri="http://schemas.microsoft.com/office/2006/documentManagement/types"/>
    <ds:schemaRef ds:uri="http://schemas.microsoft.com/sharepoint/v4"/>
    <ds:schemaRef ds:uri="7dcc4a76-b6f0-4a5c-8242-557922f7abb0"/>
    <ds:schemaRef ds:uri="http://www.w3.org/XML/1998/namespace"/>
    <ds:schemaRef ds:uri="http://schemas.microsoft.com/office/2006/metadata/properties"/>
    <ds:schemaRef ds:uri="http://schemas.openxmlformats.org/package/2006/metadata/core-properties"/>
    <ds:schemaRef ds:uri="http://purl.org/dc/terms/"/>
    <ds:schemaRef ds:uri="9fff0862-dda6-4fd7-9437-296e7a0fcd45"/>
    <ds:schemaRef ds:uri="http://purl.org/dc/dcmitype/"/>
    <ds:schemaRef ds:uri="http://purl.org/dc/elements/1.1/"/>
  </ds:schemaRefs>
</ds:datastoreItem>
</file>

<file path=customXml/itemProps2.xml><?xml version="1.0" encoding="utf-8"?>
<ds:datastoreItem xmlns:ds="http://schemas.openxmlformats.org/officeDocument/2006/customXml" ds:itemID="{3074D6DC-DC6D-4A1B-94B0-22AC20D3C6DB}">
  <ds:schemaRefs>
    <ds:schemaRef ds:uri="http://schemas.microsoft.com/sharepoint/v3/contenttype/forms"/>
  </ds:schemaRefs>
</ds:datastoreItem>
</file>

<file path=customXml/itemProps3.xml><?xml version="1.0" encoding="utf-8"?>
<ds:datastoreItem xmlns:ds="http://schemas.openxmlformats.org/officeDocument/2006/customXml" ds:itemID="{BC93FA50-420D-438C-85F3-56BFC452F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854D09-518C-4012-8628-3A2C0485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2375</Words>
  <Characters>13542</Characters>
  <Application>Microsoft Office Word</Application>
  <DocSecurity>0</DocSecurity>
  <Lines>112</Lines>
  <Paragraphs>31</Paragraphs>
  <ScaleCrop>false</ScaleCrop>
  <Company>Valdosta State University</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172</cp:revision>
  <cp:lastPrinted>2016-07-25T12:29:00Z</cp:lastPrinted>
  <dcterms:created xsi:type="dcterms:W3CDTF">2020-03-09T13:29:00Z</dcterms:created>
  <dcterms:modified xsi:type="dcterms:W3CDTF">2020-03-09T19:57:00Z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ies>
</file>