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7EC3C" w14:textId="77777777" w:rsidR="00CA7441" w:rsidRDefault="00CA7441" w:rsidP="00CA7441">
      <w:pPr>
        <w:pStyle w:val="NormalWeb"/>
        <w:spacing w:before="0" w:beforeAutospacing="0" w:after="0" w:afterAutospacing="0"/>
        <w:jc w:val="center"/>
        <w:rPr>
          <w:rFonts w:ascii="Calibri" w:hAnsi="Calibri"/>
          <w:sz w:val="22"/>
          <w:szCs w:val="22"/>
        </w:rPr>
      </w:pPr>
      <w:r>
        <w:rPr>
          <w:rFonts w:ascii="Calibri" w:hAnsi="Calibri"/>
          <w:b/>
          <w:bCs/>
          <w:sz w:val="28"/>
          <w:szCs w:val="28"/>
        </w:rPr>
        <w:t xml:space="preserve">Affordable Learning Georgia Textbook Transformation Grants </w:t>
      </w:r>
    </w:p>
    <w:p w14:paraId="5B3E9189" w14:textId="77777777" w:rsidR="00CA7441" w:rsidRDefault="00CA7441" w:rsidP="00CA7441">
      <w:pPr>
        <w:pStyle w:val="NormalWeb"/>
        <w:spacing w:before="0" w:beforeAutospacing="0" w:after="0" w:afterAutospacing="0"/>
        <w:jc w:val="center"/>
        <w:rPr>
          <w:rFonts w:ascii="Calibri" w:hAnsi="Calibri"/>
          <w:sz w:val="22"/>
          <w:szCs w:val="22"/>
        </w:rPr>
      </w:pPr>
      <w:r>
        <w:rPr>
          <w:rFonts w:ascii="Calibri" w:hAnsi="Calibri"/>
          <w:b/>
          <w:bCs/>
          <w:sz w:val="28"/>
          <w:szCs w:val="28"/>
        </w:rPr>
        <w:t>Final Report</w:t>
      </w:r>
    </w:p>
    <w:p w14:paraId="5AD1304A" w14:textId="77777777" w:rsidR="00310519" w:rsidRDefault="00310519" w:rsidP="00CA7441">
      <w:pPr>
        <w:pStyle w:val="NormalWeb"/>
        <w:spacing w:before="0" w:beforeAutospacing="0" w:after="0" w:afterAutospacing="0"/>
        <w:rPr>
          <w:rFonts w:ascii="Calibri" w:hAnsi="Calibri"/>
          <w:sz w:val="22"/>
          <w:szCs w:val="22"/>
        </w:rPr>
      </w:pPr>
    </w:p>
    <w:p w14:paraId="06C553CE" w14:textId="6337D1E2" w:rsidR="00CA7441" w:rsidRDefault="00CA7441" w:rsidP="00CA7441">
      <w:pPr>
        <w:pStyle w:val="NormalWeb"/>
        <w:spacing w:before="0" w:beforeAutospacing="0" w:after="0" w:afterAutospacing="0"/>
        <w:rPr>
          <w:rFonts w:ascii="Calibri" w:hAnsi="Calibri"/>
          <w:b/>
          <w:bCs/>
        </w:rPr>
      </w:pPr>
      <w:r>
        <w:rPr>
          <w:rFonts w:ascii="Calibri" w:hAnsi="Calibri"/>
          <w:b/>
          <w:bCs/>
        </w:rPr>
        <w:t xml:space="preserve">Date:  </w:t>
      </w:r>
      <w:r w:rsidR="00342309">
        <w:rPr>
          <w:rFonts w:ascii="Calibri" w:hAnsi="Calibri"/>
          <w:b/>
          <w:bCs/>
        </w:rPr>
        <w:t>June 1</w:t>
      </w:r>
      <w:r>
        <w:rPr>
          <w:rFonts w:ascii="Calibri" w:hAnsi="Calibri"/>
          <w:b/>
          <w:bCs/>
        </w:rPr>
        <w:t>, 2015</w:t>
      </w:r>
    </w:p>
    <w:p w14:paraId="5B2CAD52" w14:textId="77777777" w:rsidR="00650720" w:rsidRDefault="00650720" w:rsidP="00CA7441">
      <w:pPr>
        <w:pStyle w:val="NormalWeb"/>
        <w:spacing w:before="0" w:beforeAutospacing="0" w:after="0" w:afterAutospacing="0"/>
        <w:rPr>
          <w:rFonts w:ascii="Calibri" w:hAnsi="Calibri"/>
          <w:sz w:val="22"/>
          <w:szCs w:val="22"/>
        </w:rPr>
      </w:pPr>
    </w:p>
    <w:p w14:paraId="5C02186D" w14:textId="77777777" w:rsidR="00CA7441" w:rsidRDefault="00CA7441" w:rsidP="00CA7441">
      <w:pPr>
        <w:pStyle w:val="NormalWeb"/>
        <w:spacing w:before="0" w:beforeAutospacing="0" w:after="0" w:afterAutospacing="0"/>
        <w:rPr>
          <w:rFonts w:ascii="Calibri" w:hAnsi="Calibri"/>
          <w:b/>
          <w:bCs/>
        </w:rPr>
      </w:pPr>
      <w:r>
        <w:rPr>
          <w:rFonts w:ascii="Calibri" w:hAnsi="Calibri"/>
          <w:b/>
          <w:bCs/>
        </w:rPr>
        <w:t xml:space="preserve">Grant Number: </w:t>
      </w:r>
      <w:r w:rsidR="00650720">
        <w:rPr>
          <w:rFonts w:ascii="Calibri" w:hAnsi="Calibri"/>
          <w:b/>
          <w:bCs/>
        </w:rPr>
        <w:t>10</w:t>
      </w:r>
    </w:p>
    <w:p w14:paraId="576FEE2E" w14:textId="77777777" w:rsidR="00650720" w:rsidRDefault="00650720" w:rsidP="00CA7441">
      <w:pPr>
        <w:pStyle w:val="NormalWeb"/>
        <w:spacing w:before="0" w:beforeAutospacing="0" w:after="0" w:afterAutospacing="0"/>
        <w:rPr>
          <w:rFonts w:ascii="Calibri" w:hAnsi="Calibri"/>
          <w:sz w:val="22"/>
          <w:szCs w:val="22"/>
        </w:rPr>
      </w:pPr>
    </w:p>
    <w:p w14:paraId="7C1139B7" w14:textId="77777777" w:rsidR="00CA7441" w:rsidRDefault="00CA7441" w:rsidP="00CA7441">
      <w:pPr>
        <w:pStyle w:val="NormalWeb"/>
        <w:spacing w:before="0" w:beforeAutospacing="0" w:after="0" w:afterAutospacing="0"/>
        <w:rPr>
          <w:rFonts w:ascii="Calibri" w:hAnsi="Calibri"/>
          <w:b/>
          <w:bCs/>
        </w:rPr>
      </w:pPr>
      <w:r>
        <w:rPr>
          <w:rFonts w:ascii="Calibri" w:hAnsi="Calibri"/>
          <w:b/>
          <w:bCs/>
        </w:rPr>
        <w:t>Institution Name(s):</w:t>
      </w:r>
      <w:r w:rsidR="00650720">
        <w:rPr>
          <w:rFonts w:ascii="Calibri" w:hAnsi="Calibri"/>
          <w:b/>
          <w:bCs/>
        </w:rPr>
        <w:t xml:space="preserve">  The University of Georgia</w:t>
      </w:r>
    </w:p>
    <w:p w14:paraId="3BE02DF9" w14:textId="77777777" w:rsidR="00650720" w:rsidRDefault="00650720" w:rsidP="00CA7441">
      <w:pPr>
        <w:pStyle w:val="NormalWeb"/>
        <w:spacing w:before="0" w:beforeAutospacing="0" w:after="0" w:afterAutospacing="0"/>
        <w:rPr>
          <w:rFonts w:ascii="Calibri" w:hAnsi="Calibri"/>
          <w:sz w:val="22"/>
          <w:szCs w:val="22"/>
        </w:rPr>
      </w:pPr>
    </w:p>
    <w:p w14:paraId="2250731D" w14:textId="77777777" w:rsidR="00CA7441" w:rsidRDefault="00CA7441" w:rsidP="00CA7441">
      <w:pPr>
        <w:pStyle w:val="NormalWeb"/>
        <w:spacing w:before="0" w:beforeAutospacing="0" w:after="0" w:afterAutospacing="0"/>
        <w:rPr>
          <w:rFonts w:ascii="Calibri" w:hAnsi="Calibri"/>
          <w:b/>
          <w:bCs/>
        </w:rPr>
      </w:pPr>
      <w:r>
        <w:rPr>
          <w:rFonts w:ascii="Calibri" w:hAnsi="Calibri"/>
          <w:b/>
          <w:bCs/>
        </w:rPr>
        <w:t>Team Members:</w:t>
      </w:r>
      <w:r w:rsidR="00650720">
        <w:rPr>
          <w:rFonts w:ascii="Calibri" w:hAnsi="Calibri"/>
          <w:b/>
          <w:bCs/>
        </w:rPr>
        <w:t xml:space="preserve">  Deanna L. Cozart, Temporary Assistant Professor, Educational Theory and Practice – </w:t>
      </w:r>
      <w:hyperlink r:id="rId7" w:history="1">
        <w:r w:rsidR="00650720" w:rsidRPr="007C7BA9">
          <w:rPr>
            <w:rStyle w:val="Hyperlink"/>
            <w:rFonts w:ascii="Calibri" w:hAnsi="Calibri"/>
            <w:b/>
            <w:bCs/>
          </w:rPr>
          <w:t>dcozart@uga.edu</w:t>
        </w:r>
      </w:hyperlink>
      <w:r w:rsidR="00650720">
        <w:rPr>
          <w:rFonts w:ascii="Calibri" w:hAnsi="Calibri"/>
          <w:b/>
          <w:bCs/>
        </w:rPr>
        <w:t xml:space="preserve">; Amy Ingalls, Instructional Designer – </w:t>
      </w:r>
      <w:hyperlink r:id="rId8" w:history="1">
        <w:r w:rsidR="00650720" w:rsidRPr="007C7BA9">
          <w:rPr>
            <w:rStyle w:val="Hyperlink"/>
            <w:rFonts w:ascii="Calibri" w:hAnsi="Calibri"/>
            <w:b/>
            <w:bCs/>
          </w:rPr>
          <w:t>aingalls@uga.edu</w:t>
        </w:r>
      </w:hyperlink>
    </w:p>
    <w:p w14:paraId="035CE838" w14:textId="77777777" w:rsidR="00650720" w:rsidRDefault="00650720" w:rsidP="00CA7441">
      <w:pPr>
        <w:pStyle w:val="NormalWeb"/>
        <w:spacing w:before="0" w:beforeAutospacing="0" w:after="0" w:afterAutospacing="0"/>
        <w:rPr>
          <w:rFonts w:ascii="Calibri" w:hAnsi="Calibri"/>
          <w:b/>
          <w:bCs/>
        </w:rPr>
      </w:pPr>
    </w:p>
    <w:p w14:paraId="1E45672A" w14:textId="77777777" w:rsidR="00CA7441" w:rsidRDefault="00CA7441" w:rsidP="00CA7441">
      <w:pPr>
        <w:pStyle w:val="NormalWeb"/>
        <w:spacing w:before="0" w:beforeAutospacing="0" w:after="0" w:afterAutospacing="0"/>
        <w:rPr>
          <w:rFonts w:ascii="Calibri" w:hAnsi="Calibri"/>
          <w:b/>
          <w:bCs/>
        </w:rPr>
      </w:pPr>
      <w:r>
        <w:rPr>
          <w:rFonts w:ascii="Calibri" w:hAnsi="Calibri"/>
          <w:b/>
          <w:bCs/>
        </w:rPr>
        <w:t>Project Lead:</w:t>
      </w:r>
      <w:r w:rsidR="00650720">
        <w:rPr>
          <w:rFonts w:ascii="Calibri" w:hAnsi="Calibri"/>
          <w:b/>
          <w:bCs/>
        </w:rPr>
        <w:t xml:space="preserve">  </w:t>
      </w:r>
      <w:r w:rsidR="00650720" w:rsidRPr="00650720">
        <w:rPr>
          <w:rFonts w:ascii="Calibri" w:hAnsi="Calibri"/>
          <w:b/>
          <w:bCs/>
        </w:rPr>
        <w:t>Deanna L</w:t>
      </w:r>
      <w:r w:rsidR="00650720">
        <w:rPr>
          <w:rFonts w:ascii="Calibri" w:hAnsi="Calibri"/>
          <w:b/>
          <w:bCs/>
        </w:rPr>
        <w:t>.</w:t>
      </w:r>
      <w:r w:rsidR="00650720" w:rsidRPr="00650720">
        <w:rPr>
          <w:rFonts w:ascii="Calibri" w:hAnsi="Calibri"/>
          <w:b/>
          <w:bCs/>
        </w:rPr>
        <w:t xml:space="preserve"> Cozart</w:t>
      </w:r>
    </w:p>
    <w:p w14:paraId="67938049" w14:textId="77777777" w:rsidR="00650720" w:rsidRDefault="00650720" w:rsidP="00CA7441">
      <w:pPr>
        <w:pStyle w:val="NormalWeb"/>
        <w:spacing w:before="0" w:beforeAutospacing="0" w:after="0" w:afterAutospacing="0"/>
        <w:rPr>
          <w:rFonts w:ascii="Calibri" w:hAnsi="Calibri"/>
          <w:sz w:val="22"/>
          <w:szCs w:val="22"/>
        </w:rPr>
      </w:pPr>
    </w:p>
    <w:p w14:paraId="20AD5C0B" w14:textId="77777777" w:rsidR="00CA7441" w:rsidRDefault="00CA7441" w:rsidP="00CA7441">
      <w:pPr>
        <w:pStyle w:val="NormalWeb"/>
        <w:spacing w:before="0" w:beforeAutospacing="0" w:after="0" w:afterAutospacing="0"/>
        <w:rPr>
          <w:rFonts w:ascii="Calibri" w:hAnsi="Calibri"/>
          <w:b/>
          <w:bCs/>
        </w:rPr>
      </w:pPr>
      <w:r>
        <w:rPr>
          <w:rFonts w:ascii="Calibri" w:hAnsi="Calibri"/>
          <w:b/>
          <w:bCs/>
        </w:rPr>
        <w:t>Course Name(s) and Course Numbers:</w:t>
      </w:r>
      <w:r w:rsidR="00650720">
        <w:rPr>
          <w:rFonts w:ascii="Calibri" w:hAnsi="Calibri"/>
          <w:b/>
          <w:bCs/>
        </w:rPr>
        <w:t xml:space="preserve">  EDUC 2120, Exploring Soci</w:t>
      </w:r>
      <w:r w:rsidR="0055702F">
        <w:rPr>
          <w:rFonts w:ascii="Calibri" w:hAnsi="Calibri"/>
          <w:b/>
          <w:bCs/>
        </w:rPr>
        <w:t>o</w:t>
      </w:r>
      <w:r w:rsidR="00650720">
        <w:rPr>
          <w:rFonts w:ascii="Calibri" w:hAnsi="Calibri"/>
          <w:b/>
          <w:bCs/>
        </w:rPr>
        <w:t>-cultural Perspectives on Diversity</w:t>
      </w:r>
    </w:p>
    <w:p w14:paraId="35B0DE93" w14:textId="77777777" w:rsidR="00650720" w:rsidRDefault="00650720" w:rsidP="00CA7441">
      <w:pPr>
        <w:pStyle w:val="NormalWeb"/>
        <w:spacing w:before="0" w:beforeAutospacing="0" w:after="0" w:afterAutospacing="0"/>
        <w:rPr>
          <w:rFonts w:ascii="Calibri" w:hAnsi="Calibri"/>
          <w:sz w:val="22"/>
          <w:szCs w:val="22"/>
        </w:rPr>
      </w:pPr>
    </w:p>
    <w:p w14:paraId="5D57794E" w14:textId="77777777" w:rsidR="00CA7441" w:rsidRDefault="00CA7441" w:rsidP="00CA7441">
      <w:pPr>
        <w:pStyle w:val="NormalWeb"/>
        <w:spacing w:before="0" w:beforeAutospacing="0" w:after="0" w:afterAutospacing="0"/>
        <w:rPr>
          <w:rFonts w:ascii="Calibri" w:hAnsi="Calibri"/>
          <w:b/>
          <w:bCs/>
        </w:rPr>
      </w:pPr>
      <w:r>
        <w:rPr>
          <w:rFonts w:ascii="Calibri" w:hAnsi="Calibri"/>
          <w:b/>
          <w:bCs/>
        </w:rPr>
        <w:t>Semester Project Began:</w:t>
      </w:r>
      <w:r w:rsidR="00650720">
        <w:rPr>
          <w:rFonts w:ascii="Calibri" w:hAnsi="Calibri"/>
          <w:b/>
          <w:bCs/>
        </w:rPr>
        <w:t xml:space="preserve">  Fall 2014</w:t>
      </w:r>
    </w:p>
    <w:p w14:paraId="7FD57F3F" w14:textId="77777777" w:rsidR="00650720" w:rsidRDefault="00650720" w:rsidP="00CA7441">
      <w:pPr>
        <w:pStyle w:val="NormalWeb"/>
        <w:spacing w:before="0" w:beforeAutospacing="0" w:after="0" w:afterAutospacing="0"/>
        <w:rPr>
          <w:rFonts w:ascii="Calibri" w:hAnsi="Calibri"/>
          <w:sz w:val="22"/>
          <w:szCs w:val="22"/>
        </w:rPr>
      </w:pPr>
    </w:p>
    <w:p w14:paraId="3C7F92E4" w14:textId="77777777" w:rsidR="00CA7441" w:rsidRDefault="00CA7441" w:rsidP="00CA7441">
      <w:pPr>
        <w:pStyle w:val="NormalWeb"/>
        <w:spacing w:before="0" w:beforeAutospacing="0" w:after="0" w:afterAutospacing="0"/>
        <w:rPr>
          <w:rFonts w:ascii="Calibri" w:hAnsi="Calibri"/>
          <w:b/>
          <w:bCs/>
        </w:rPr>
      </w:pPr>
      <w:r>
        <w:rPr>
          <w:rFonts w:ascii="Calibri" w:hAnsi="Calibri"/>
          <w:b/>
          <w:bCs/>
        </w:rPr>
        <w:t>Semester of Implementation:</w:t>
      </w:r>
      <w:r w:rsidR="00650720">
        <w:rPr>
          <w:rFonts w:ascii="Calibri" w:hAnsi="Calibri"/>
          <w:b/>
          <w:bCs/>
        </w:rPr>
        <w:t xml:space="preserve"> Spring 2015</w:t>
      </w:r>
    </w:p>
    <w:p w14:paraId="05330A2D" w14:textId="77777777" w:rsidR="00650720" w:rsidRDefault="00650720" w:rsidP="00CA7441">
      <w:pPr>
        <w:pStyle w:val="NormalWeb"/>
        <w:spacing w:before="0" w:beforeAutospacing="0" w:after="0" w:afterAutospacing="0"/>
        <w:rPr>
          <w:rFonts w:ascii="Calibri" w:hAnsi="Calibri"/>
          <w:sz w:val="22"/>
          <w:szCs w:val="22"/>
        </w:rPr>
      </w:pPr>
    </w:p>
    <w:p w14:paraId="121A0F8E" w14:textId="77777777" w:rsidR="00CA7441" w:rsidRDefault="00CA7441" w:rsidP="00CA7441">
      <w:pPr>
        <w:pStyle w:val="NormalWeb"/>
        <w:spacing w:before="0" w:beforeAutospacing="0" w:after="0" w:afterAutospacing="0"/>
        <w:rPr>
          <w:rFonts w:ascii="Calibri" w:hAnsi="Calibri"/>
          <w:b/>
          <w:bCs/>
        </w:rPr>
      </w:pPr>
      <w:r>
        <w:rPr>
          <w:rFonts w:ascii="Calibri" w:hAnsi="Calibri"/>
          <w:b/>
          <w:bCs/>
        </w:rPr>
        <w:t>Average Number of Students Per Course Section:</w:t>
      </w:r>
      <w:r w:rsidR="00650720">
        <w:rPr>
          <w:rFonts w:ascii="Calibri" w:hAnsi="Calibri"/>
          <w:b/>
          <w:bCs/>
        </w:rPr>
        <w:t xml:space="preserve"> 36</w:t>
      </w:r>
    </w:p>
    <w:p w14:paraId="0CD37EB3" w14:textId="77777777" w:rsidR="00612D0B" w:rsidRDefault="00612D0B" w:rsidP="00CA7441">
      <w:pPr>
        <w:pStyle w:val="NormalWeb"/>
        <w:spacing w:before="0" w:beforeAutospacing="0" w:after="0" w:afterAutospacing="0"/>
        <w:rPr>
          <w:rFonts w:ascii="Calibri" w:hAnsi="Calibri"/>
          <w:sz w:val="22"/>
          <w:szCs w:val="22"/>
        </w:rPr>
      </w:pPr>
    </w:p>
    <w:p w14:paraId="28B050C7" w14:textId="77777777" w:rsidR="00CA7441" w:rsidRDefault="00CA7441" w:rsidP="00CA7441">
      <w:pPr>
        <w:pStyle w:val="NormalWeb"/>
        <w:spacing w:before="0" w:beforeAutospacing="0" w:after="0" w:afterAutospacing="0"/>
        <w:rPr>
          <w:rFonts w:ascii="Calibri" w:hAnsi="Calibri"/>
          <w:b/>
          <w:bCs/>
        </w:rPr>
      </w:pPr>
      <w:r>
        <w:rPr>
          <w:rFonts w:ascii="Calibri" w:hAnsi="Calibri"/>
          <w:b/>
          <w:bCs/>
        </w:rPr>
        <w:t>Number of Course Sections Affected by Implementation:</w:t>
      </w:r>
      <w:r w:rsidR="00650720">
        <w:rPr>
          <w:rFonts w:ascii="Calibri" w:hAnsi="Calibri"/>
          <w:b/>
          <w:bCs/>
        </w:rPr>
        <w:t xml:space="preserve"> 3</w:t>
      </w:r>
    </w:p>
    <w:p w14:paraId="0F179B2B" w14:textId="77777777" w:rsidR="00650720" w:rsidRDefault="00650720" w:rsidP="00CA7441">
      <w:pPr>
        <w:pStyle w:val="NormalWeb"/>
        <w:spacing w:before="0" w:beforeAutospacing="0" w:after="0" w:afterAutospacing="0"/>
        <w:rPr>
          <w:rFonts w:ascii="Calibri" w:hAnsi="Calibri"/>
          <w:sz w:val="22"/>
          <w:szCs w:val="22"/>
        </w:rPr>
      </w:pPr>
    </w:p>
    <w:p w14:paraId="17A86EEE" w14:textId="77777777" w:rsidR="00CA7441" w:rsidRDefault="00CA7441" w:rsidP="00CA7441">
      <w:pPr>
        <w:pStyle w:val="NormalWeb"/>
        <w:spacing w:before="0" w:beforeAutospacing="0" w:after="0" w:afterAutospacing="0"/>
        <w:rPr>
          <w:rFonts w:ascii="Calibri" w:hAnsi="Calibri"/>
          <w:sz w:val="22"/>
          <w:szCs w:val="22"/>
        </w:rPr>
      </w:pPr>
      <w:r>
        <w:rPr>
          <w:rFonts w:ascii="Calibri" w:hAnsi="Calibri"/>
          <w:b/>
          <w:bCs/>
        </w:rPr>
        <w:t>Total Number of Students Affected by Implementation:</w:t>
      </w:r>
      <w:r w:rsidR="00650720">
        <w:rPr>
          <w:rFonts w:ascii="Calibri" w:hAnsi="Calibri"/>
          <w:b/>
          <w:bCs/>
        </w:rPr>
        <w:t xml:space="preserve"> 99</w:t>
      </w:r>
    </w:p>
    <w:p w14:paraId="33B45DAE" w14:textId="77777777" w:rsidR="00CA7441" w:rsidRDefault="00CA7441" w:rsidP="00CA7441">
      <w:pPr>
        <w:pStyle w:val="NormalWeb"/>
        <w:spacing w:before="0" w:beforeAutospacing="0" w:after="0" w:afterAutospacing="0"/>
        <w:rPr>
          <w:rFonts w:ascii="Calibri" w:hAnsi="Calibri"/>
          <w:sz w:val="22"/>
          <w:szCs w:val="22"/>
        </w:rPr>
      </w:pPr>
    </w:p>
    <w:p w14:paraId="297A9F0C" w14:textId="77777777" w:rsidR="00650720" w:rsidRDefault="00650720">
      <w:pPr>
        <w:rPr>
          <w:rFonts w:ascii="Calibri" w:eastAsia="Times New Roman" w:hAnsi="Calibri" w:cs="Times New Roman"/>
        </w:rPr>
      </w:pPr>
      <w:r>
        <w:rPr>
          <w:rFonts w:ascii="Calibri" w:hAnsi="Calibri"/>
        </w:rPr>
        <w:br w:type="page"/>
      </w:r>
    </w:p>
    <w:p w14:paraId="60346A19" w14:textId="77777777" w:rsidR="00CA7441" w:rsidRDefault="00CA7441" w:rsidP="00CA7441">
      <w:pPr>
        <w:pStyle w:val="NormalWeb"/>
        <w:spacing w:before="0" w:beforeAutospacing="0" w:after="0" w:afterAutospacing="0"/>
        <w:rPr>
          <w:rFonts w:ascii="Calibri" w:hAnsi="Calibri"/>
          <w:sz w:val="22"/>
          <w:szCs w:val="22"/>
        </w:rPr>
      </w:pPr>
    </w:p>
    <w:p w14:paraId="55D719A5" w14:textId="77777777" w:rsidR="00CA7441" w:rsidRDefault="00CA7441" w:rsidP="00CA7441">
      <w:pPr>
        <w:pStyle w:val="NormalWeb"/>
        <w:spacing w:before="0" w:beforeAutospacing="0" w:after="0" w:afterAutospacing="0"/>
        <w:rPr>
          <w:rFonts w:ascii="Calibri" w:hAnsi="Calibri"/>
          <w:b/>
          <w:bCs/>
        </w:rPr>
      </w:pPr>
      <w:r>
        <w:rPr>
          <w:rFonts w:ascii="Calibri" w:hAnsi="Calibri"/>
          <w:b/>
          <w:bCs/>
        </w:rPr>
        <w:t>1. List of Resources Used in the Textbook Transformation</w:t>
      </w:r>
    </w:p>
    <w:p w14:paraId="2637E3C8" w14:textId="77777777" w:rsidR="009179B7" w:rsidRDefault="009179B7" w:rsidP="00CA7441">
      <w:pPr>
        <w:pStyle w:val="NormalWeb"/>
        <w:spacing w:before="0" w:beforeAutospacing="0" w:after="0" w:afterAutospacing="0"/>
        <w:rPr>
          <w:rFonts w:ascii="Calibri" w:hAnsi="Calibri"/>
          <w:sz w:val="22"/>
          <w:szCs w:val="22"/>
        </w:rPr>
      </w:pPr>
    </w:p>
    <w:p w14:paraId="2FEF2CE7" w14:textId="0CA06178" w:rsidR="009179B7" w:rsidRPr="00880F0F" w:rsidRDefault="009179B7" w:rsidP="00CA7441">
      <w:pPr>
        <w:pStyle w:val="NormalWeb"/>
        <w:spacing w:before="0" w:beforeAutospacing="0" w:after="0" w:afterAutospacing="0"/>
        <w:rPr>
          <w:rFonts w:ascii="Calibri" w:hAnsi="Calibri"/>
        </w:rPr>
      </w:pPr>
      <w:r w:rsidRPr="00880F0F">
        <w:rPr>
          <w:rFonts w:ascii="Calibri" w:hAnsi="Calibri"/>
        </w:rPr>
        <w:t>This list includes all of the compiled readings for a no-cost-to-students grant.  The table below has each resource organized by module, in the order they are completed for the class.</w:t>
      </w:r>
    </w:p>
    <w:p w14:paraId="059A544A" w14:textId="77777777" w:rsidR="009179B7" w:rsidRDefault="009179B7" w:rsidP="00CA7441">
      <w:pPr>
        <w:pStyle w:val="NormalWeb"/>
        <w:spacing w:before="0" w:beforeAutospacing="0" w:after="0" w:afterAutospacing="0"/>
        <w:rPr>
          <w:rFonts w:ascii="Calibri" w:hAnsi="Calibri"/>
          <w:sz w:val="22"/>
          <w:szCs w:val="22"/>
        </w:rPr>
      </w:pPr>
    </w:p>
    <w:tbl>
      <w:tblPr>
        <w:tblW w:w="0" w:type="auto"/>
        <w:tblInd w:w="45"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4230"/>
        <w:gridCol w:w="1530"/>
        <w:gridCol w:w="1710"/>
        <w:gridCol w:w="1935"/>
      </w:tblGrid>
      <w:tr w:rsidR="009179B7" w:rsidRPr="00B453B3" w14:paraId="677EB1E6" w14:textId="77777777" w:rsidTr="009179B7">
        <w:trPr>
          <w:trHeight w:val="387"/>
        </w:trPr>
        <w:tc>
          <w:tcPr>
            <w:tcW w:w="9405" w:type="dxa"/>
            <w:gridSpan w:val="4"/>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hideMark/>
          </w:tcPr>
          <w:p w14:paraId="26FD8908" w14:textId="263660B9" w:rsidR="009179B7" w:rsidRPr="00534807" w:rsidRDefault="00310519" w:rsidP="009179B7">
            <w:pPr>
              <w:rPr>
                <w:rFonts w:ascii="Arial" w:eastAsia="Times New Roman" w:hAnsi="Arial" w:cs="Arial"/>
                <w:b/>
                <w:bCs/>
                <w:sz w:val="20"/>
                <w:szCs w:val="20"/>
              </w:rPr>
            </w:pPr>
            <w:r>
              <w:rPr>
                <w:rFonts w:ascii="Arial" w:eastAsia="Times New Roman" w:hAnsi="Arial" w:cs="Arial"/>
                <w:b/>
                <w:bCs/>
                <w:sz w:val="20"/>
                <w:szCs w:val="20"/>
              </w:rPr>
              <w:t xml:space="preserve">Module 1 - </w:t>
            </w:r>
            <w:r w:rsidR="009179B7" w:rsidRPr="00534807">
              <w:rPr>
                <w:rFonts w:ascii="Arial" w:eastAsia="Times New Roman" w:hAnsi="Arial" w:cs="Arial"/>
                <w:b/>
                <w:bCs/>
                <w:sz w:val="20"/>
                <w:szCs w:val="20"/>
              </w:rPr>
              <w:t xml:space="preserve">Multiculturalism </w:t>
            </w:r>
          </w:p>
        </w:tc>
      </w:tr>
      <w:tr w:rsidR="009179B7" w:rsidRPr="00B453B3" w14:paraId="304BCBE4"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30" w:type="dxa"/>
              <w:left w:w="45" w:type="dxa"/>
              <w:bottom w:w="30" w:type="dxa"/>
              <w:right w:w="45" w:type="dxa"/>
            </w:tcMar>
          </w:tcPr>
          <w:p w14:paraId="027BB507" w14:textId="77777777" w:rsidR="009179B7" w:rsidRPr="00534807" w:rsidRDefault="009179B7" w:rsidP="009179B7">
            <w:pPr>
              <w:rPr>
                <w:rFonts w:ascii="Arial" w:eastAsia="Times New Roman" w:hAnsi="Arial" w:cs="Arial"/>
                <w:sz w:val="20"/>
                <w:szCs w:val="20"/>
              </w:rPr>
            </w:pPr>
            <w:r w:rsidRPr="00534807">
              <w:rPr>
                <w:rFonts w:ascii="Arial" w:eastAsia="Times New Roman" w:hAnsi="Arial" w:cs="Arial"/>
                <w:sz w:val="20"/>
                <w:szCs w:val="20"/>
              </w:rPr>
              <w:t>Title</w:t>
            </w:r>
          </w:p>
        </w:tc>
        <w:tc>
          <w:tcPr>
            <w:tcW w:w="1530"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Pr>
          <w:p w14:paraId="5EDC734E" w14:textId="77777777" w:rsidR="009179B7" w:rsidRPr="00534807" w:rsidRDefault="009179B7" w:rsidP="009179B7">
            <w:pPr>
              <w:rPr>
                <w:rFonts w:ascii="Arial" w:eastAsia="Times New Roman" w:hAnsi="Arial" w:cs="Arial"/>
                <w:sz w:val="20"/>
                <w:szCs w:val="20"/>
              </w:rPr>
            </w:pPr>
            <w:r w:rsidRPr="00534807">
              <w:rPr>
                <w:rFonts w:ascii="Arial" w:eastAsia="Times New Roman" w:hAnsi="Arial" w:cs="Arial"/>
                <w:sz w:val="20"/>
                <w:szCs w:val="20"/>
              </w:rPr>
              <w:t>Author</w:t>
            </w:r>
          </w:p>
        </w:tc>
        <w:tc>
          <w:tcPr>
            <w:tcW w:w="1710"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Pr>
          <w:p w14:paraId="4A406628" w14:textId="77777777" w:rsidR="009179B7" w:rsidRPr="00534807" w:rsidRDefault="009179B7" w:rsidP="009179B7">
            <w:pPr>
              <w:rPr>
                <w:rFonts w:ascii="Arial" w:eastAsia="Times New Roman" w:hAnsi="Arial" w:cs="Arial"/>
                <w:sz w:val="20"/>
                <w:szCs w:val="20"/>
              </w:rPr>
            </w:pPr>
            <w:r w:rsidRPr="00534807">
              <w:rPr>
                <w:rFonts w:ascii="Arial" w:eastAsia="Times New Roman" w:hAnsi="Arial" w:cs="Arial"/>
                <w:sz w:val="20"/>
                <w:szCs w:val="20"/>
              </w:rPr>
              <w:t>License</w:t>
            </w:r>
          </w:p>
        </w:tc>
        <w:tc>
          <w:tcPr>
            <w:tcW w:w="1935"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Pr>
          <w:p w14:paraId="239BEFD0" w14:textId="77777777" w:rsidR="009179B7" w:rsidRPr="00534807" w:rsidRDefault="009179B7" w:rsidP="009179B7">
            <w:pPr>
              <w:rPr>
                <w:rFonts w:ascii="Arial" w:eastAsia="Times New Roman" w:hAnsi="Arial" w:cs="Arial"/>
                <w:sz w:val="20"/>
                <w:szCs w:val="20"/>
              </w:rPr>
            </w:pPr>
            <w:r w:rsidRPr="00534807">
              <w:rPr>
                <w:rFonts w:ascii="Arial" w:eastAsia="Times New Roman" w:hAnsi="Arial" w:cs="Arial"/>
                <w:sz w:val="20"/>
                <w:szCs w:val="20"/>
              </w:rPr>
              <w:t>URL</w:t>
            </w:r>
          </w:p>
        </w:tc>
      </w:tr>
      <w:tr w:rsidR="009179B7" w:rsidRPr="00B453B3" w14:paraId="3A088083" w14:textId="77777777" w:rsidTr="009179B7">
        <w:trPr>
          <w:trHeight w:val="1377"/>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66D9AEAF"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‘Defining Multicultural Education for School Reform’ – Chapter 2 in Affirming Diversity: The Sociopolitical Context of Multic</w:t>
            </w:r>
            <w:r>
              <w:rPr>
                <w:rFonts w:ascii="Arial" w:eastAsia="Times New Roman" w:hAnsi="Arial" w:cs="Arial"/>
                <w:sz w:val="20"/>
                <w:szCs w:val="20"/>
              </w:rPr>
              <w:t>ultural Education (6th edition)</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480F6D01" w14:textId="77777777" w:rsidR="009179B7" w:rsidRPr="007E1D2D" w:rsidRDefault="009179B7" w:rsidP="009179B7">
            <w:pPr>
              <w:rPr>
                <w:rFonts w:ascii="Arial" w:eastAsia="Times New Roman" w:hAnsi="Arial" w:cs="Arial"/>
                <w:color w:val="000000"/>
                <w:sz w:val="20"/>
                <w:szCs w:val="20"/>
                <w:shd w:val="clear" w:color="auto" w:fill="FFFFFF"/>
              </w:rPr>
            </w:pPr>
            <w:r w:rsidRPr="00B453B3">
              <w:rPr>
                <w:rFonts w:ascii="Arial" w:eastAsia="Times New Roman" w:hAnsi="Arial" w:cs="Arial"/>
                <w:sz w:val="20"/>
                <w:szCs w:val="20"/>
              </w:rPr>
              <w:t>Sonia Nieto &amp; Patty Bode</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Pr>
          <w:p w14:paraId="12D59BC1" w14:textId="77777777" w:rsidR="009179B7" w:rsidRPr="007E1D2D" w:rsidRDefault="009179B7" w:rsidP="009179B7">
            <w:pPr>
              <w:rPr>
                <w:rFonts w:ascii="Times" w:eastAsia="Times New Roman" w:hAnsi="Times" w:cs="Times New Roman"/>
                <w:sz w:val="20"/>
                <w:szCs w:val="20"/>
              </w:rPr>
            </w:pPr>
            <w:r w:rsidRPr="007E1D2D">
              <w:rPr>
                <w:rFonts w:ascii="Arial" w:eastAsia="Times New Roman" w:hAnsi="Arial" w:cs="Arial"/>
                <w:color w:val="000000"/>
                <w:sz w:val="20"/>
                <w:szCs w:val="20"/>
                <w:shd w:val="clear" w:color="auto" w:fill="FFFFFF"/>
              </w:rPr>
              <w:t xml:space="preserve">Library </w:t>
            </w:r>
            <w:proofErr w:type="spellStart"/>
            <w:r w:rsidRPr="007E1D2D">
              <w:rPr>
                <w:rFonts w:ascii="Arial" w:eastAsia="Times New Roman" w:hAnsi="Arial" w:cs="Arial"/>
                <w:color w:val="000000"/>
                <w:sz w:val="20"/>
                <w:szCs w:val="20"/>
                <w:shd w:val="clear" w:color="auto" w:fill="FFFFFF"/>
              </w:rPr>
              <w:t>eReserves</w:t>
            </w:r>
            <w:proofErr w:type="spellEnd"/>
            <w:r w:rsidRPr="007E1D2D">
              <w:rPr>
                <w:rFonts w:ascii="Arial" w:eastAsia="Times New Roman" w:hAnsi="Arial" w:cs="Arial"/>
                <w:color w:val="000000"/>
                <w:sz w:val="20"/>
                <w:szCs w:val="20"/>
                <w:shd w:val="clear" w:color="auto" w:fill="FFFFFF"/>
              </w:rPr>
              <w:t xml:space="preserve"> </w:t>
            </w:r>
          </w:p>
          <w:p w14:paraId="27C4ED2B" w14:textId="77777777" w:rsidR="009179B7" w:rsidRPr="00B453B3" w:rsidRDefault="009179B7" w:rsidP="009179B7">
            <w:pPr>
              <w:rPr>
                <w:rFonts w:ascii="Arial" w:eastAsia="Times New Roman"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FFFFFF"/>
          </w:tcPr>
          <w:p w14:paraId="48CB4AFC" w14:textId="77777777" w:rsidR="009179B7" w:rsidRPr="007E1D2D" w:rsidRDefault="009179B7" w:rsidP="009179B7">
            <w:pPr>
              <w:rPr>
                <w:rFonts w:ascii="Arial" w:eastAsia="Times New Roman" w:hAnsi="Arial" w:cs="Arial"/>
                <w:color w:val="000000"/>
                <w:sz w:val="20"/>
                <w:szCs w:val="20"/>
                <w:shd w:val="clear" w:color="auto" w:fill="FFFFFF"/>
              </w:rPr>
            </w:pPr>
          </w:p>
        </w:tc>
      </w:tr>
      <w:tr w:rsidR="009179B7" w:rsidRPr="00B453B3" w14:paraId="06D3EAFA"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7336E8B2"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‘Multiculturalism: Ba</w:t>
            </w:r>
            <w:r>
              <w:rPr>
                <w:rFonts w:ascii="Arial" w:eastAsia="Times New Roman" w:hAnsi="Arial" w:cs="Arial"/>
                <w:sz w:val="20"/>
                <w:szCs w:val="20"/>
              </w:rPr>
              <w:t xml:space="preserve">ttleground or Meeting Ground?’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1C89DCF7" w14:textId="77777777" w:rsidR="009179B7" w:rsidRPr="007E1D2D" w:rsidRDefault="009179B7" w:rsidP="009179B7">
            <w:pPr>
              <w:rPr>
                <w:rFonts w:ascii="Arial" w:eastAsia="Times New Roman" w:hAnsi="Arial" w:cs="Arial"/>
                <w:color w:val="000000"/>
                <w:sz w:val="20"/>
                <w:szCs w:val="20"/>
                <w:shd w:val="clear" w:color="auto" w:fill="FFFFFF"/>
              </w:rPr>
            </w:pPr>
            <w:r w:rsidRPr="00B453B3">
              <w:rPr>
                <w:rFonts w:ascii="Arial" w:eastAsia="Times New Roman" w:hAnsi="Arial" w:cs="Arial"/>
                <w:sz w:val="20"/>
                <w:szCs w:val="20"/>
              </w:rPr>
              <w:t xml:space="preserve">Ronald </w:t>
            </w:r>
            <w:proofErr w:type="spellStart"/>
            <w:r w:rsidRPr="00B453B3">
              <w:rPr>
                <w:rFonts w:ascii="Arial" w:eastAsia="Times New Roman" w:hAnsi="Arial" w:cs="Arial"/>
                <w:sz w:val="20"/>
                <w:szCs w:val="20"/>
              </w:rPr>
              <w:t>Takaki</w:t>
            </w:r>
            <w:proofErr w:type="spellEnd"/>
          </w:p>
        </w:tc>
        <w:tc>
          <w:tcPr>
            <w:tcW w:w="1710" w:type="dxa"/>
            <w:tcBorders>
              <w:top w:val="single" w:sz="6" w:space="0" w:color="CCCCCC"/>
              <w:left w:val="single" w:sz="6" w:space="0" w:color="CCCCCC"/>
              <w:bottom w:val="single" w:sz="6" w:space="0" w:color="CCCCCC"/>
              <w:right w:val="single" w:sz="6" w:space="0" w:color="CCCCCC"/>
            </w:tcBorders>
            <w:shd w:val="clear" w:color="auto" w:fill="FFFFFF"/>
          </w:tcPr>
          <w:p w14:paraId="6FEEC393" w14:textId="77777777" w:rsidR="009179B7" w:rsidRPr="007E1D2D" w:rsidRDefault="009179B7" w:rsidP="009179B7">
            <w:pPr>
              <w:rPr>
                <w:rFonts w:ascii="Times" w:eastAsia="Times New Roman" w:hAnsi="Times" w:cs="Times New Roman"/>
                <w:sz w:val="20"/>
                <w:szCs w:val="20"/>
              </w:rPr>
            </w:pPr>
            <w:r w:rsidRPr="007E1D2D">
              <w:rPr>
                <w:rFonts w:ascii="Arial" w:eastAsia="Times New Roman" w:hAnsi="Arial" w:cs="Arial"/>
                <w:color w:val="000000"/>
                <w:sz w:val="20"/>
                <w:szCs w:val="20"/>
                <w:shd w:val="clear" w:color="auto" w:fill="FFFFFF"/>
              </w:rPr>
              <w:t xml:space="preserve">Library - </w:t>
            </w:r>
            <w:proofErr w:type="spellStart"/>
            <w:r w:rsidRPr="007E1D2D">
              <w:rPr>
                <w:rFonts w:ascii="Arial" w:eastAsia="Times New Roman" w:hAnsi="Arial" w:cs="Arial"/>
                <w:color w:val="000000"/>
                <w:sz w:val="20"/>
                <w:szCs w:val="20"/>
                <w:shd w:val="clear" w:color="auto" w:fill="FFFFFF"/>
              </w:rPr>
              <w:t>Galelio</w:t>
            </w:r>
            <w:proofErr w:type="spellEnd"/>
            <w:r w:rsidRPr="007E1D2D">
              <w:rPr>
                <w:rFonts w:ascii="Arial" w:eastAsia="Times New Roman" w:hAnsi="Arial" w:cs="Arial"/>
                <w:color w:val="000000"/>
                <w:sz w:val="20"/>
                <w:szCs w:val="20"/>
                <w:shd w:val="clear" w:color="auto" w:fill="FFFFFF"/>
              </w:rPr>
              <w:t xml:space="preserve"> </w:t>
            </w:r>
          </w:p>
          <w:p w14:paraId="35D1C20F" w14:textId="77777777" w:rsidR="009179B7" w:rsidRPr="00B453B3" w:rsidRDefault="009179B7" w:rsidP="009179B7">
            <w:pPr>
              <w:rPr>
                <w:rFonts w:ascii="Arial" w:eastAsia="Times New Roman"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FFFFFF"/>
          </w:tcPr>
          <w:p w14:paraId="4B0E8367" w14:textId="77777777" w:rsidR="009179B7" w:rsidRPr="007E1D2D" w:rsidRDefault="009179B7" w:rsidP="009179B7">
            <w:pPr>
              <w:rPr>
                <w:rFonts w:ascii="Arial" w:eastAsia="Times New Roman" w:hAnsi="Arial" w:cs="Arial"/>
                <w:color w:val="000000"/>
                <w:sz w:val="20"/>
                <w:szCs w:val="20"/>
                <w:shd w:val="clear" w:color="auto" w:fill="FFFFFF"/>
              </w:rPr>
            </w:pPr>
          </w:p>
        </w:tc>
      </w:tr>
      <w:tr w:rsidR="009179B7" w:rsidRPr="00B453B3" w14:paraId="579AE4DA"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0AEA2329"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 xml:space="preserve">‘Multiculturalism: E Pluribus </w:t>
            </w:r>
            <w:proofErr w:type="spellStart"/>
            <w:r w:rsidRPr="00B453B3">
              <w:rPr>
                <w:rFonts w:ascii="Arial" w:eastAsia="Times New Roman" w:hAnsi="Arial" w:cs="Arial"/>
                <w:sz w:val="20"/>
                <w:szCs w:val="20"/>
              </w:rPr>
              <w:t>Plures</w:t>
            </w:r>
            <w:proofErr w:type="spellEnd"/>
            <w:r w:rsidRPr="00B453B3">
              <w:rPr>
                <w:rFonts w:ascii="Arial" w:eastAsia="Times New Roman" w:hAnsi="Arial" w:cs="Arial"/>
                <w:sz w:val="20"/>
                <w:szCs w:val="20"/>
              </w:rPr>
              <w:t xml:space="preserve">’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5353810F" w14:textId="77777777" w:rsidR="009179B7" w:rsidRPr="007E1D2D" w:rsidRDefault="009179B7" w:rsidP="009179B7">
            <w:pPr>
              <w:rPr>
                <w:rFonts w:ascii="Arial" w:eastAsia="Times New Roman" w:hAnsi="Arial" w:cs="Arial"/>
                <w:color w:val="000000"/>
                <w:sz w:val="20"/>
                <w:szCs w:val="20"/>
                <w:shd w:val="clear" w:color="auto" w:fill="FFFFFF"/>
              </w:rPr>
            </w:pPr>
            <w:r w:rsidRPr="00B453B3">
              <w:rPr>
                <w:rFonts w:ascii="Arial" w:eastAsia="Times New Roman" w:hAnsi="Arial" w:cs="Arial"/>
                <w:sz w:val="20"/>
                <w:szCs w:val="20"/>
              </w:rPr>
              <w:t xml:space="preserve">Diane </w:t>
            </w:r>
            <w:proofErr w:type="spellStart"/>
            <w:r w:rsidRPr="00B453B3">
              <w:rPr>
                <w:rFonts w:ascii="Arial" w:eastAsia="Times New Roman" w:hAnsi="Arial" w:cs="Arial"/>
                <w:sz w:val="20"/>
                <w:szCs w:val="20"/>
              </w:rPr>
              <w:t>Ravitch</w:t>
            </w:r>
            <w:proofErr w:type="spellEnd"/>
          </w:p>
        </w:tc>
        <w:tc>
          <w:tcPr>
            <w:tcW w:w="1710" w:type="dxa"/>
            <w:tcBorders>
              <w:top w:val="single" w:sz="6" w:space="0" w:color="CCCCCC"/>
              <w:left w:val="single" w:sz="6" w:space="0" w:color="CCCCCC"/>
              <w:bottom w:val="single" w:sz="6" w:space="0" w:color="CCCCCC"/>
              <w:right w:val="single" w:sz="6" w:space="0" w:color="CCCCCC"/>
            </w:tcBorders>
            <w:shd w:val="clear" w:color="auto" w:fill="FFFFFF"/>
          </w:tcPr>
          <w:p w14:paraId="458AF9E3" w14:textId="77777777" w:rsidR="009179B7" w:rsidRPr="007E1D2D" w:rsidRDefault="009179B7" w:rsidP="009179B7">
            <w:pPr>
              <w:rPr>
                <w:rFonts w:ascii="Times" w:eastAsia="Times New Roman" w:hAnsi="Times" w:cs="Times New Roman"/>
                <w:sz w:val="20"/>
                <w:szCs w:val="20"/>
              </w:rPr>
            </w:pPr>
            <w:r w:rsidRPr="007E1D2D">
              <w:rPr>
                <w:rFonts w:ascii="Arial" w:eastAsia="Times New Roman" w:hAnsi="Arial" w:cs="Arial"/>
                <w:color w:val="000000"/>
                <w:sz w:val="20"/>
                <w:szCs w:val="20"/>
                <w:shd w:val="clear" w:color="auto" w:fill="FFFFFF"/>
              </w:rPr>
              <w:t xml:space="preserve">Library - </w:t>
            </w:r>
            <w:proofErr w:type="spellStart"/>
            <w:r w:rsidRPr="007E1D2D">
              <w:rPr>
                <w:rFonts w:ascii="Arial" w:eastAsia="Times New Roman" w:hAnsi="Arial" w:cs="Arial"/>
                <w:color w:val="000000"/>
                <w:sz w:val="20"/>
                <w:szCs w:val="20"/>
                <w:shd w:val="clear" w:color="auto" w:fill="FFFFFF"/>
              </w:rPr>
              <w:t>Galelio</w:t>
            </w:r>
            <w:proofErr w:type="spellEnd"/>
            <w:r w:rsidRPr="007E1D2D">
              <w:rPr>
                <w:rFonts w:ascii="Arial" w:eastAsia="Times New Roman" w:hAnsi="Arial" w:cs="Arial"/>
                <w:color w:val="000000"/>
                <w:sz w:val="20"/>
                <w:szCs w:val="20"/>
                <w:shd w:val="clear" w:color="auto" w:fill="FFFFFF"/>
              </w:rPr>
              <w:t xml:space="preserve"> </w:t>
            </w:r>
          </w:p>
          <w:p w14:paraId="7FA14058" w14:textId="77777777" w:rsidR="009179B7" w:rsidRPr="00B453B3" w:rsidRDefault="009179B7" w:rsidP="009179B7">
            <w:pPr>
              <w:rPr>
                <w:rFonts w:ascii="Arial" w:eastAsia="Times New Roman"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FFFFFF"/>
          </w:tcPr>
          <w:p w14:paraId="682E69BA" w14:textId="77777777" w:rsidR="009179B7" w:rsidRPr="007E1D2D" w:rsidRDefault="009179B7" w:rsidP="009179B7">
            <w:pPr>
              <w:rPr>
                <w:rFonts w:ascii="Arial" w:eastAsia="Times New Roman" w:hAnsi="Arial" w:cs="Arial"/>
                <w:color w:val="000000"/>
                <w:sz w:val="20"/>
                <w:szCs w:val="20"/>
                <w:shd w:val="clear" w:color="auto" w:fill="FFFFFF"/>
              </w:rPr>
            </w:pPr>
          </w:p>
        </w:tc>
      </w:tr>
      <w:tr w:rsidR="009179B7" w:rsidRPr="00B453B3" w14:paraId="7D9F44E9" w14:textId="77777777" w:rsidTr="009179B7">
        <w:trPr>
          <w:trHeight w:val="243"/>
        </w:trPr>
        <w:tc>
          <w:tcPr>
            <w:tcW w:w="9405" w:type="dxa"/>
            <w:gridSpan w:val="4"/>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30" w:type="dxa"/>
              <w:left w:w="45" w:type="dxa"/>
              <w:bottom w:w="30" w:type="dxa"/>
              <w:right w:w="45" w:type="dxa"/>
            </w:tcMar>
          </w:tcPr>
          <w:p w14:paraId="6C4A68B1" w14:textId="0F296AE2" w:rsidR="009179B7" w:rsidRPr="007E1D2D" w:rsidRDefault="00310519" w:rsidP="009179B7">
            <w:pPr>
              <w:rPr>
                <w:rFonts w:ascii="Arial" w:eastAsia="Times New Roman" w:hAnsi="Arial" w:cs="Arial"/>
                <w:color w:val="000000"/>
                <w:sz w:val="20"/>
                <w:szCs w:val="20"/>
                <w:shd w:val="clear" w:color="auto" w:fill="FFFFFF"/>
              </w:rPr>
            </w:pPr>
            <w:r>
              <w:rPr>
                <w:rFonts w:ascii="Arial" w:eastAsia="Times New Roman" w:hAnsi="Arial" w:cs="Arial"/>
                <w:b/>
                <w:bCs/>
                <w:sz w:val="20"/>
                <w:szCs w:val="20"/>
              </w:rPr>
              <w:t xml:space="preserve">Module 2 - </w:t>
            </w:r>
            <w:r w:rsidR="009179B7">
              <w:rPr>
                <w:rFonts w:ascii="Arial" w:eastAsia="Times New Roman" w:hAnsi="Arial" w:cs="Arial"/>
                <w:b/>
                <w:bCs/>
                <w:sz w:val="20"/>
                <w:szCs w:val="20"/>
              </w:rPr>
              <w:t>Race/Ethnicity</w:t>
            </w:r>
          </w:p>
        </w:tc>
      </w:tr>
      <w:tr w:rsidR="009179B7" w:rsidRPr="00B453B3" w14:paraId="39D68959"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62238D29"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 xml:space="preserve"> ‘Defining Racism’ – Chapter 1 in Why are All the Black Kids Sitting Together in the Cafeteria?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08EB5B1A" w14:textId="77777777" w:rsidR="009179B7" w:rsidRPr="007E1D2D" w:rsidRDefault="009179B7" w:rsidP="009179B7">
            <w:pPr>
              <w:rPr>
                <w:rFonts w:ascii="Arial" w:eastAsia="Times New Roman" w:hAnsi="Arial" w:cs="Arial"/>
                <w:color w:val="000000"/>
                <w:sz w:val="20"/>
                <w:szCs w:val="20"/>
                <w:shd w:val="clear" w:color="auto" w:fill="FFFFFF"/>
              </w:rPr>
            </w:pPr>
            <w:r w:rsidRPr="00B453B3">
              <w:rPr>
                <w:rFonts w:ascii="Arial" w:eastAsia="Times New Roman" w:hAnsi="Arial" w:cs="Arial"/>
                <w:sz w:val="20"/>
                <w:szCs w:val="20"/>
              </w:rPr>
              <w:t>Beverly Tatum</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Pr>
          <w:p w14:paraId="4812BBED" w14:textId="77777777" w:rsidR="009179B7" w:rsidRPr="007E1D2D" w:rsidRDefault="009179B7" w:rsidP="009179B7">
            <w:pPr>
              <w:rPr>
                <w:rFonts w:ascii="Times" w:eastAsia="Times New Roman" w:hAnsi="Times" w:cs="Times New Roman"/>
                <w:sz w:val="20"/>
                <w:szCs w:val="20"/>
              </w:rPr>
            </w:pPr>
            <w:r w:rsidRPr="007E1D2D">
              <w:rPr>
                <w:rFonts w:ascii="Arial" w:eastAsia="Times New Roman" w:hAnsi="Arial" w:cs="Arial"/>
                <w:color w:val="000000"/>
                <w:sz w:val="20"/>
                <w:szCs w:val="20"/>
                <w:shd w:val="clear" w:color="auto" w:fill="FFFFFF"/>
              </w:rPr>
              <w:t xml:space="preserve">Library </w:t>
            </w:r>
            <w:proofErr w:type="spellStart"/>
            <w:r w:rsidRPr="007E1D2D">
              <w:rPr>
                <w:rFonts w:ascii="Arial" w:eastAsia="Times New Roman" w:hAnsi="Arial" w:cs="Arial"/>
                <w:color w:val="000000"/>
                <w:sz w:val="20"/>
                <w:szCs w:val="20"/>
                <w:shd w:val="clear" w:color="auto" w:fill="FFFFFF"/>
              </w:rPr>
              <w:t>eReserves</w:t>
            </w:r>
            <w:proofErr w:type="spellEnd"/>
            <w:r w:rsidRPr="007E1D2D">
              <w:rPr>
                <w:rFonts w:ascii="Arial" w:eastAsia="Times New Roman" w:hAnsi="Arial" w:cs="Arial"/>
                <w:color w:val="000000"/>
                <w:sz w:val="20"/>
                <w:szCs w:val="20"/>
                <w:shd w:val="clear" w:color="auto" w:fill="FFFFFF"/>
              </w:rPr>
              <w:t xml:space="preserve"> </w:t>
            </w:r>
          </w:p>
          <w:p w14:paraId="11C057E1" w14:textId="77777777" w:rsidR="009179B7" w:rsidRPr="00B453B3" w:rsidRDefault="009179B7" w:rsidP="009179B7">
            <w:pPr>
              <w:rPr>
                <w:rFonts w:ascii="Arial" w:eastAsia="Times New Roman"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FFFFFF"/>
          </w:tcPr>
          <w:p w14:paraId="1AF811FB" w14:textId="77777777" w:rsidR="009179B7" w:rsidRPr="007E1D2D" w:rsidRDefault="009179B7" w:rsidP="009179B7">
            <w:pPr>
              <w:rPr>
                <w:rFonts w:ascii="Arial" w:eastAsia="Times New Roman" w:hAnsi="Arial" w:cs="Arial"/>
                <w:color w:val="000000"/>
                <w:sz w:val="20"/>
                <w:szCs w:val="20"/>
                <w:shd w:val="clear" w:color="auto" w:fill="FFFFFF"/>
              </w:rPr>
            </w:pPr>
          </w:p>
        </w:tc>
      </w:tr>
      <w:tr w:rsidR="009179B7" w:rsidRPr="00B453B3" w14:paraId="109D060D"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765FF9E3"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‘White Privilege: Unp</w:t>
            </w:r>
            <w:r>
              <w:rPr>
                <w:rFonts w:ascii="Arial" w:eastAsia="Times New Roman" w:hAnsi="Arial" w:cs="Arial"/>
                <w:sz w:val="20"/>
                <w:szCs w:val="20"/>
              </w:rPr>
              <w:t xml:space="preserve">acking the Invisible Knapsack’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5B028282" w14:textId="77777777" w:rsidR="009179B7" w:rsidRPr="007E1D2D" w:rsidRDefault="009179B7" w:rsidP="009179B7">
            <w:pPr>
              <w:rPr>
                <w:rFonts w:ascii="Arial" w:eastAsia="Times New Roman" w:hAnsi="Arial" w:cs="Arial"/>
                <w:color w:val="000000"/>
                <w:sz w:val="20"/>
                <w:szCs w:val="20"/>
                <w:shd w:val="clear" w:color="auto" w:fill="FFFFFF"/>
              </w:rPr>
            </w:pPr>
            <w:r w:rsidRPr="00B453B3">
              <w:rPr>
                <w:rFonts w:ascii="Arial" w:eastAsia="Times New Roman" w:hAnsi="Arial" w:cs="Arial"/>
                <w:sz w:val="20"/>
                <w:szCs w:val="20"/>
              </w:rPr>
              <w:t>Peggy Macintosh</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Pr>
          <w:p w14:paraId="0A55979C" w14:textId="77777777" w:rsidR="009179B7" w:rsidRPr="007E1D2D" w:rsidRDefault="009179B7" w:rsidP="009179B7">
            <w:pPr>
              <w:rPr>
                <w:rFonts w:ascii="Times" w:eastAsia="Times New Roman" w:hAnsi="Times" w:cs="Times New Roman"/>
                <w:sz w:val="20"/>
                <w:szCs w:val="20"/>
              </w:rPr>
            </w:pPr>
            <w:r w:rsidRPr="007E1D2D">
              <w:rPr>
                <w:rFonts w:ascii="Arial" w:eastAsia="Times New Roman" w:hAnsi="Arial" w:cs="Arial"/>
                <w:color w:val="000000"/>
                <w:sz w:val="20"/>
                <w:szCs w:val="20"/>
                <w:shd w:val="clear" w:color="auto" w:fill="FFFFFF"/>
              </w:rPr>
              <w:t xml:space="preserve">Library </w:t>
            </w:r>
            <w:proofErr w:type="spellStart"/>
            <w:r w:rsidRPr="007E1D2D">
              <w:rPr>
                <w:rFonts w:ascii="Arial" w:eastAsia="Times New Roman" w:hAnsi="Arial" w:cs="Arial"/>
                <w:color w:val="000000"/>
                <w:sz w:val="20"/>
                <w:szCs w:val="20"/>
                <w:shd w:val="clear" w:color="auto" w:fill="FFFFFF"/>
              </w:rPr>
              <w:t>eReserves</w:t>
            </w:r>
            <w:proofErr w:type="spellEnd"/>
            <w:r w:rsidRPr="007E1D2D">
              <w:rPr>
                <w:rFonts w:ascii="Arial" w:eastAsia="Times New Roman" w:hAnsi="Arial" w:cs="Arial"/>
                <w:color w:val="000000"/>
                <w:sz w:val="20"/>
                <w:szCs w:val="20"/>
                <w:shd w:val="clear" w:color="auto" w:fill="FFFFFF"/>
              </w:rPr>
              <w:t xml:space="preserve"> </w:t>
            </w:r>
          </w:p>
          <w:p w14:paraId="10A6021C" w14:textId="77777777" w:rsidR="009179B7" w:rsidRPr="00B453B3" w:rsidRDefault="009179B7" w:rsidP="009179B7">
            <w:pPr>
              <w:rPr>
                <w:rFonts w:ascii="Arial" w:eastAsia="Times New Roman"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FFFFFF"/>
          </w:tcPr>
          <w:p w14:paraId="4BAB95C2" w14:textId="77777777" w:rsidR="009179B7" w:rsidRPr="007E1D2D" w:rsidRDefault="009179B7" w:rsidP="009179B7">
            <w:pPr>
              <w:rPr>
                <w:rFonts w:ascii="Arial" w:eastAsia="Times New Roman" w:hAnsi="Arial" w:cs="Arial"/>
                <w:color w:val="000000"/>
                <w:sz w:val="20"/>
                <w:szCs w:val="20"/>
                <w:shd w:val="clear" w:color="auto" w:fill="FFFFFF"/>
              </w:rPr>
            </w:pPr>
          </w:p>
        </w:tc>
      </w:tr>
      <w:tr w:rsidR="009179B7" w:rsidRPr="00B453B3" w14:paraId="3A33562D"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72FDDAA4"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‘Concerted Cultivation and the Accomplishment of Natural Growth’ – Chapter 1 in Unequal Childho</w:t>
            </w:r>
            <w:r>
              <w:rPr>
                <w:rFonts w:ascii="Arial" w:eastAsia="Times New Roman" w:hAnsi="Arial" w:cs="Arial"/>
                <w:sz w:val="20"/>
                <w:szCs w:val="20"/>
              </w:rPr>
              <w:t>ods: Class, Race, &amp; Family Life</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0FB9AF15" w14:textId="77777777" w:rsidR="009179B7" w:rsidRPr="007E1D2D" w:rsidRDefault="009179B7" w:rsidP="009179B7">
            <w:pPr>
              <w:rPr>
                <w:rFonts w:ascii="Arial" w:eastAsia="Times New Roman" w:hAnsi="Arial" w:cs="Arial"/>
                <w:color w:val="000000"/>
                <w:sz w:val="20"/>
                <w:szCs w:val="20"/>
                <w:shd w:val="clear" w:color="auto" w:fill="FFFFFF"/>
              </w:rPr>
            </w:pPr>
            <w:r w:rsidRPr="00B453B3">
              <w:rPr>
                <w:rFonts w:ascii="Arial" w:eastAsia="Times New Roman" w:hAnsi="Arial" w:cs="Arial"/>
                <w:sz w:val="20"/>
                <w:szCs w:val="20"/>
              </w:rPr>
              <w:t xml:space="preserve">Annette </w:t>
            </w:r>
            <w:proofErr w:type="spellStart"/>
            <w:r w:rsidRPr="00B453B3">
              <w:rPr>
                <w:rFonts w:ascii="Arial" w:eastAsia="Times New Roman" w:hAnsi="Arial" w:cs="Arial"/>
                <w:sz w:val="20"/>
                <w:szCs w:val="20"/>
              </w:rPr>
              <w:t>Lareau</w:t>
            </w:r>
            <w:proofErr w:type="spellEnd"/>
          </w:p>
        </w:tc>
        <w:tc>
          <w:tcPr>
            <w:tcW w:w="1710" w:type="dxa"/>
            <w:tcBorders>
              <w:top w:val="single" w:sz="6" w:space="0" w:color="CCCCCC"/>
              <w:left w:val="single" w:sz="6" w:space="0" w:color="CCCCCC"/>
              <w:bottom w:val="single" w:sz="6" w:space="0" w:color="CCCCCC"/>
              <w:right w:val="single" w:sz="6" w:space="0" w:color="CCCCCC"/>
            </w:tcBorders>
            <w:shd w:val="clear" w:color="auto" w:fill="FFFFFF"/>
          </w:tcPr>
          <w:p w14:paraId="617E6283" w14:textId="77777777" w:rsidR="009179B7" w:rsidRPr="007E1D2D" w:rsidRDefault="009179B7" w:rsidP="009179B7">
            <w:pPr>
              <w:rPr>
                <w:rFonts w:ascii="Times" w:eastAsia="Times New Roman" w:hAnsi="Times" w:cs="Times New Roman"/>
                <w:sz w:val="20"/>
                <w:szCs w:val="20"/>
              </w:rPr>
            </w:pPr>
            <w:r w:rsidRPr="007E1D2D">
              <w:rPr>
                <w:rFonts w:ascii="Arial" w:eastAsia="Times New Roman" w:hAnsi="Arial" w:cs="Arial"/>
                <w:color w:val="000000"/>
                <w:sz w:val="20"/>
                <w:szCs w:val="20"/>
                <w:shd w:val="clear" w:color="auto" w:fill="FFFFFF"/>
              </w:rPr>
              <w:t xml:space="preserve">Library </w:t>
            </w:r>
            <w:proofErr w:type="spellStart"/>
            <w:r w:rsidRPr="007E1D2D">
              <w:rPr>
                <w:rFonts w:ascii="Arial" w:eastAsia="Times New Roman" w:hAnsi="Arial" w:cs="Arial"/>
                <w:color w:val="000000"/>
                <w:sz w:val="20"/>
                <w:szCs w:val="20"/>
                <w:shd w:val="clear" w:color="auto" w:fill="FFFFFF"/>
              </w:rPr>
              <w:t>eReserves</w:t>
            </w:r>
            <w:proofErr w:type="spellEnd"/>
            <w:r w:rsidRPr="007E1D2D">
              <w:rPr>
                <w:rFonts w:ascii="Arial" w:eastAsia="Times New Roman" w:hAnsi="Arial" w:cs="Arial"/>
                <w:color w:val="000000"/>
                <w:sz w:val="20"/>
                <w:szCs w:val="20"/>
                <w:shd w:val="clear" w:color="auto" w:fill="FFFFFF"/>
              </w:rPr>
              <w:t xml:space="preserve"> </w:t>
            </w:r>
          </w:p>
          <w:p w14:paraId="48962A09" w14:textId="77777777" w:rsidR="009179B7" w:rsidRPr="00B453B3" w:rsidRDefault="009179B7" w:rsidP="009179B7">
            <w:pPr>
              <w:rPr>
                <w:rFonts w:ascii="Arial" w:eastAsia="Times New Roman"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FFFFFF"/>
          </w:tcPr>
          <w:p w14:paraId="43D76B11" w14:textId="77777777" w:rsidR="009179B7" w:rsidRPr="007E1D2D" w:rsidRDefault="009179B7" w:rsidP="009179B7">
            <w:pPr>
              <w:rPr>
                <w:rFonts w:ascii="Arial" w:eastAsia="Times New Roman" w:hAnsi="Arial" w:cs="Arial"/>
                <w:color w:val="000000"/>
                <w:sz w:val="20"/>
                <w:szCs w:val="20"/>
                <w:shd w:val="clear" w:color="auto" w:fill="FFFFFF"/>
              </w:rPr>
            </w:pPr>
          </w:p>
        </w:tc>
      </w:tr>
      <w:tr w:rsidR="009179B7" w:rsidRPr="00B453B3" w14:paraId="190269FB" w14:textId="77777777" w:rsidTr="009179B7">
        <w:trPr>
          <w:trHeight w:val="243"/>
        </w:trPr>
        <w:tc>
          <w:tcPr>
            <w:tcW w:w="9405" w:type="dxa"/>
            <w:gridSpan w:val="4"/>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hideMark/>
          </w:tcPr>
          <w:p w14:paraId="5E7DBE82" w14:textId="42F61321" w:rsidR="009179B7" w:rsidRDefault="00310519" w:rsidP="009179B7">
            <w:pPr>
              <w:rPr>
                <w:rFonts w:ascii="Arial" w:eastAsia="Times New Roman" w:hAnsi="Arial" w:cs="Arial"/>
                <w:b/>
                <w:bCs/>
                <w:sz w:val="20"/>
                <w:szCs w:val="20"/>
              </w:rPr>
            </w:pPr>
            <w:r>
              <w:rPr>
                <w:rFonts w:ascii="Arial" w:eastAsia="Times New Roman" w:hAnsi="Arial" w:cs="Arial"/>
                <w:b/>
                <w:bCs/>
                <w:sz w:val="20"/>
                <w:szCs w:val="20"/>
              </w:rPr>
              <w:t xml:space="preserve">Module 3 - </w:t>
            </w:r>
            <w:r w:rsidR="009179B7" w:rsidRPr="00B453B3">
              <w:rPr>
                <w:rFonts w:ascii="Arial" w:eastAsia="Times New Roman" w:hAnsi="Arial" w:cs="Arial"/>
                <w:b/>
                <w:bCs/>
                <w:sz w:val="20"/>
                <w:szCs w:val="20"/>
              </w:rPr>
              <w:t>Class / Socioeconomic Status</w:t>
            </w:r>
          </w:p>
        </w:tc>
      </w:tr>
      <w:tr w:rsidR="009179B7" w:rsidRPr="00B453B3" w14:paraId="10021BA5" w14:textId="77777777" w:rsidTr="003E3681">
        <w:trPr>
          <w:trHeight w:val="540"/>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CA8731D"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‘At the Edge of Poverty’ – Introduction in The Working Poor: Invisible in America</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3554EA77" w14:textId="77777777" w:rsidR="009179B7" w:rsidRPr="007E1D2D" w:rsidRDefault="009179B7" w:rsidP="009179B7">
            <w:pPr>
              <w:rPr>
                <w:rFonts w:ascii="Arial" w:eastAsia="Times New Roman" w:hAnsi="Arial" w:cs="Arial"/>
                <w:color w:val="000000"/>
                <w:sz w:val="20"/>
                <w:szCs w:val="20"/>
                <w:shd w:val="clear" w:color="auto" w:fill="FFFFFF"/>
              </w:rPr>
            </w:pPr>
            <w:r w:rsidRPr="00B453B3">
              <w:rPr>
                <w:rFonts w:ascii="Arial" w:eastAsia="Times New Roman" w:hAnsi="Arial" w:cs="Arial"/>
                <w:sz w:val="20"/>
                <w:szCs w:val="20"/>
              </w:rPr>
              <w:t xml:space="preserve">David </w:t>
            </w:r>
            <w:proofErr w:type="spellStart"/>
            <w:r w:rsidRPr="00B453B3">
              <w:rPr>
                <w:rFonts w:ascii="Arial" w:eastAsia="Times New Roman" w:hAnsi="Arial" w:cs="Arial"/>
                <w:sz w:val="20"/>
                <w:szCs w:val="20"/>
              </w:rPr>
              <w:t>Shipler</w:t>
            </w:r>
            <w:proofErr w:type="spellEnd"/>
          </w:p>
        </w:tc>
        <w:tc>
          <w:tcPr>
            <w:tcW w:w="1710" w:type="dxa"/>
            <w:tcBorders>
              <w:top w:val="single" w:sz="6" w:space="0" w:color="CCCCCC"/>
              <w:left w:val="single" w:sz="6" w:space="0" w:color="CCCCCC"/>
              <w:bottom w:val="single" w:sz="6" w:space="0" w:color="CCCCCC"/>
              <w:right w:val="single" w:sz="6" w:space="0" w:color="CCCCCC"/>
            </w:tcBorders>
            <w:shd w:val="clear" w:color="auto" w:fill="FFFFFF"/>
          </w:tcPr>
          <w:p w14:paraId="15B3A349" w14:textId="77777777" w:rsidR="009179B7" w:rsidRPr="007E1D2D" w:rsidRDefault="009179B7" w:rsidP="009179B7">
            <w:pPr>
              <w:rPr>
                <w:rFonts w:ascii="Times" w:eastAsia="Times New Roman" w:hAnsi="Times" w:cs="Times New Roman"/>
                <w:sz w:val="20"/>
                <w:szCs w:val="20"/>
              </w:rPr>
            </w:pPr>
            <w:r w:rsidRPr="007E1D2D">
              <w:rPr>
                <w:rFonts w:ascii="Arial" w:eastAsia="Times New Roman" w:hAnsi="Arial" w:cs="Arial"/>
                <w:color w:val="000000"/>
                <w:sz w:val="20"/>
                <w:szCs w:val="20"/>
                <w:shd w:val="clear" w:color="auto" w:fill="FFFFFF"/>
              </w:rPr>
              <w:t xml:space="preserve">Library </w:t>
            </w:r>
            <w:proofErr w:type="spellStart"/>
            <w:r w:rsidRPr="007E1D2D">
              <w:rPr>
                <w:rFonts w:ascii="Arial" w:eastAsia="Times New Roman" w:hAnsi="Arial" w:cs="Arial"/>
                <w:color w:val="000000"/>
                <w:sz w:val="20"/>
                <w:szCs w:val="20"/>
                <w:shd w:val="clear" w:color="auto" w:fill="FFFFFF"/>
              </w:rPr>
              <w:t>eReserves</w:t>
            </w:r>
            <w:proofErr w:type="spellEnd"/>
            <w:r w:rsidRPr="007E1D2D">
              <w:rPr>
                <w:rFonts w:ascii="Arial" w:eastAsia="Times New Roman" w:hAnsi="Arial" w:cs="Arial"/>
                <w:color w:val="000000"/>
                <w:sz w:val="20"/>
                <w:szCs w:val="20"/>
                <w:shd w:val="clear" w:color="auto" w:fill="FFFFFF"/>
              </w:rPr>
              <w:t xml:space="preserve"> </w:t>
            </w:r>
          </w:p>
          <w:p w14:paraId="278BE902" w14:textId="77777777" w:rsidR="009179B7" w:rsidRPr="00B453B3" w:rsidRDefault="009179B7" w:rsidP="009179B7">
            <w:pPr>
              <w:rPr>
                <w:rFonts w:ascii="Arial" w:eastAsia="Times New Roman"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FFFFFF"/>
          </w:tcPr>
          <w:p w14:paraId="3D76C220" w14:textId="77777777" w:rsidR="009179B7" w:rsidRPr="007E1D2D" w:rsidRDefault="009179B7" w:rsidP="009179B7">
            <w:pPr>
              <w:rPr>
                <w:rFonts w:ascii="Arial" w:eastAsia="Times New Roman" w:hAnsi="Arial" w:cs="Arial"/>
                <w:color w:val="000000"/>
                <w:sz w:val="20"/>
                <w:szCs w:val="20"/>
                <w:shd w:val="clear" w:color="auto" w:fill="FFFFFF"/>
              </w:rPr>
            </w:pPr>
          </w:p>
        </w:tc>
      </w:tr>
      <w:tr w:rsidR="009179B7" w:rsidRPr="00B453B3" w14:paraId="1D4982FE"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BEB5080"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Pedago</w:t>
            </w:r>
            <w:r>
              <w:rPr>
                <w:rFonts w:ascii="Arial" w:eastAsia="Times New Roman" w:hAnsi="Arial" w:cs="Arial"/>
                <w:sz w:val="20"/>
                <w:szCs w:val="20"/>
              </w:rPr>
              <w:t>gy of the Oppressed – Chapter 2</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4D7C03E2" w14:textId="77777777" w:rsidR="009179B7" w:rsidRPr="007E1D2D" w:rsidRDefault="009179B7" w:rsidP="009179B7">
            <w:pPr>
              <w:rPr>
                <w:rFonts w:ascii="Arial" w:eastAsia="Times New Roman" w:hAnsi="Arial" w:cs="Arial"/>
                <w:color w:val="000000"/>
                <w:sz w:val="20"/>
                <w:szCs w:val="20"/>
                <w:shd w:val="clear" w:color="auto" w:fill="FFFFFF"/>
              </w:rPr>
            </w:pPr>
            <w:r w:rsidRPr="00B453B3">
              <w:rPr>
                <w:rFonts w:ascii="Arial" w:eastAsia="Times New Roman" w:hAnsi="Arial" w:cs="Arial"/>
                <w:sz w:val="20"/>
                <w:szCs w:val="20"/>
              </w:rPr>
              <w:t xml:space="preserve">Paulo </w:t>
            </w:r>
            <w:proofErr w:type="spellStart"/>
            <w:r w:rsidRPr="00B453B3">
              <w:rPr>
                <w:rFonts w:ascii="Arial" w:eastAsia="Times New Roman" w:hAnsi="Arial" w:cs="Arial"/>
                <w:sz w:val="20"/>
                <w:szCs w:val="20"/>
              </w:rPr>
              <w:t>Friere</w:t>
            </w:r>
            <w:proofErr w:type="spellEnd"/>
          </w:p>
        </w:tc>
        <w:tc>
          <w:tcPr>
            <w:tcW w:w="1710" w:type="dxa"/>
            <w:tcBorders>
              <w:top w:val="single" w:sz="6" w:space="0" w:color="CCCCCC"/>
              <w:left w:val="single" w:sz="6" w:space="0" w:color="CCCCCC"/>
              <w:bottom w:val="single" w:sz="6" w:space="0" w:color="CCCCCC"/>
              <w:right w:val="single" w:sz="6" w:space="0" w:color="CCCCCC"/>
            </w:tcBorders>
            <w:shd w:val="clear" w:color="auto" w:fill="FFFFFF"/>
          </w:tcPr>
          <w:p w14:paraId="29ADD696" w14:textId="77777777" w:rsidR="009179B7" w:rsidRPr="007E1D2D" w:rsidRDefault="009179B7" w:rsidP="009179B7">
            <w:pPr>
              <w:rPr>
                <w:rFonts w:ascii="Times" w:eastAsia="Times New Roman" w:hAnsi="Times" w:cs="Times New Roman"/>
                <w:sz w:val="20"/>
                <w:szCs w:val="20"/>
              </w:rPr>
            </w:pPr>
            <w:r w:rsidRPr="007E1D2D">
              <w:rPr>
                <w:rFonts w:ascii="Arial" w:eastAsia="Times New Roman" w:hAnsi="Arial" w:cs="Arial"/>
                <w:color w:val="000000"/>
                <w:sz w:val="20"/>
                <w:szCs w:val="20"/>
                <w:shd w:val="clear" w:color="auto" w:fill="FFFFFF"/>
              </w:rPr>
              <w:t xml:space="preserve">Library </w:t>
            </w:r>
            <w:proofErr w:type="spellStart"/>
            <w:r w:rsidRPr="007E1D2D">
              <w:rPr>
                <w:rFonts w:ascii="Arial" w:eastAsia="Times New Roman" w:hAnsi="Arial" w:cs="Arial"/>
                <w:color w:val="000000"/>
                <w:sz w:val="20"/>
                <w:szCs w:val="20"/>
                <w:shd w:val="clear" w:color="auto" w:fill="FFFFFF"/>
              </w:rPr>
              <w:t>eReserves</w:t>
            </w:r>
            <w:proofErr w:type="spellEnd"/>
            <w:r w:rsidRPr="007E1D2D">
              <w:rPr>
                <w:rFonts w:ascii="Arial" w:eastAsia="Times New Roman" w:hAnsi="Arial" w:cs="Arial"/>
                <w:color w:val="000000"/>
                <w:sz w:val="20"/>
                <w:szCs w:val="20"/>
                <w:shd w:val="clear" w:color="auto" w:fill="FFFFFF"/>
              </w:rPr>
              <w:t xml:space="preserve"> </w:t>
            </w:r>
          </w:p>
          <w:p w14:paraId="0D0DF809" w14:textId="77777777" w:rsidR="009179B7" w:rsidRPr="00B453B3" w:rsidRDefault="009179B7" w:rsidP="009179B7">
            <w:pPr>
              <w:rPr>
                <w:rFonts w:ascii="Arial" w:eastAsia="Times New Roman" w:hAnsi="Arial" w:cs="Arial"/>
                <w:sz w:val="20"/>
                <w:szCs w:val="20"/>
              </w:rPr>
            </w:pPr>
          </w:p>
        </w:tc>
        <w:tc>
          <w:tcPr>
            <w:tcW w:w="1935" w:type="dxa"/>
            <w:tcBorders>
              <w:top w:val="single" w:sz="6" w:space="0" w:color="CCCCCC"/>
              <w:left w:val="single" w:sz="6" w:space="0" w:color="CCCCCC"/>
              <w:bottom w:val="single" w:sz="6" w:space="0" w:color="CCCCCC"/>
              <w:right w:val="single" w:sz="6" w:space="0" w:color="CCCCCC"/>
            </w:tcBorders>
            <w:shd w:val="clear" w:color="auto" w:fill="FFFFFF"/>
          </w:tcPr>
          <w:p w14:paraId="6BF125F1" w14:textId="77777777" w:rsidR="009179B7" w:rsidRPr="007E1D2D" w:rsidRDefault="009179B7" w:rsidP="009179B7">
            <w:pPr>
              <w:rPr>
                <w:rFonts w:ascii="Arial" w:eastAsia="Times New Roman" w:hAnsi="Arial" w:cs="Arial"/>
                <w:color w:val="000000"/>
                <w:sz w:val="20"/>
                <w:szCs w:val="20"/>
                <w:shd w:val="clear" w:color="auto" w:fill="FFFFFF"/>
              </w:rPr>
            </w:pPr>
          </w:p>
        </w:tc>
      </w:tr>
      <w:tr w:rsidR="009179B7" w:rsidRPr="00B453B3" w14:paraId="575676A8"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833083E"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lastRenderedPageBreak/>
              <w:t>The High Cost of Po</w:t>
            </w:r>
            <w:r>
              <w:rPr>
                <w:rFonts w:ascii="Arial" w:eastAsia="Times New Roman" w:hAnsi="Arial" w:cs="Arial"/>
                <w:sz w:val="20"/>
                <w:szCs w:val="20"/>
              </w:rPr>
              <w:t xml:space="preserve">verty’ – Washington Post, 2009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48CFEE51" w14:textId="77777777" w:rsidR="009179B7" w:rsidRPr="00534807" w:rsidRDefault="009179B7" w:rsidP="009179B7">
            <w:pPr>
              <w:rPr>
                <w:rFonts w:ascii="Arial" w:eastAsia="Times New Roman" w:hAnsi="Arial" w:cs="Arial"/>
                <w:sz w:val="20"/>
                <w:szCs w:val="20"/>
              </w:rPr>
            </w:pPr>
            <w:proofErr w:type="spellStart"/>
            <w:r w:rsidRPr="00534807">
              <w:rPr>
                <w:rFonts w:ascii="Arial" w:eastAsia="Times New Roman" w:hAnsi="Arial" w:cs="Arial"/>
                <w:sz w:val="20"/>
                <w:szCs w:val="20"/>
              </w:rPr>
              <w:t>DeNeen</w:t>
            </w:r>
            <w:proofErr w:type="spellEnd"/>
            <w:r w:rsidRPr="00534807">
              <w:rPr>
                <w:rFonts w:ascii="Arial" w:eastAsia="Times New Roman" w:hAnsi="Arial" w:cs="Arial"/>
                <w:sz w:val="20"/>
                <w:szCs w:val="20"/>
              </w:rPr>
              <w:t xml:space="preserve"> L. Brown</w:t>
            </w:r>
          </w:p>
          <w:p w14:paraId="6BF67150" w14:textId="77777777" w:rsidR="009179B7" w:rsidRDefault="009179B7" w:rsidP="009179B7">
            <w:pPr>
              <w:rPr>
                <w:rFonts w:ascii="Arial" w:eastAsia="Times New Roman" w:hAnsi="Arial" w:cs="Arial"/>
                <w:sz w:val="20"/>
                <w:szCs w:val="20"/>
              </w:rPr>
            </w:pPr>
          </w:p>
        </w:tc>
        <w:tc>
          <w:tcPr>
            <w:tcW w:w="1710" w:type="dxa"/>
            <w:tcBorders>
              <w:top w:val="single" w:sz="6" w:space="0" w:color="CCCCCC"/>
              <w:left w:val="single" w:sz="6" w:space="0" w:color="CCCCCC"/>
              <w:bottom w:val="single" w:sz="6" w:space="0" w:color="CCCCCC"/>
              <w:right w:val="single" w:sz="6" w:space="0" w:color="CCCCCC"/>
            </w:tcBorders>
            <w:shd w:val="clear" w:color="auto" w:fill="FFFFFF"/>
          </w:tcPr>
          <w:p w14:paraId="68660CBC" w14:textId="77777777" w:rsidR="009179B7" w:rsidRPr="00B453B3" w:rsidRDefault="009179B7" w:rsidP="009179B7">
            <w:pPr>
              <w:rPr>
                <w:rFonts w:ascii="Arial" w:eastAsia="Times New Roman" w:hAnsi="Arial" w:cs="Arial"/>
                <w:sz w:val="20"/>
                <w:szCs w:val="20"/>
              </w:rPr>
            </w:pPr>
            <w:r>
              <w:rPr>
                <w:rFonts w:ascii="Arial" w:eastAsia="Times New Roman" w:hAnsi="Arial" w:cs="Arial"/>
                <w:sz w:val="20"/>
                <w:szCs w:val="20"/>
              </w:rPr>
              <w:t>External Resource</w:t>
            </w:r>
          </w:p>
        </w:tc>
        <w:tc>
          <w:tcPr>
            <w:tcW w:w="1935" w:type="dxa"/>
            <w:tcBorders>
              <w:top w:val="single" w:sz="6" w:space="0" w:color="CCCCCC"/>
              <w:left w:val="single" w:sz="6" w:space="0" w:color="CCCCCC"/>
              <w:bottom w:val="single" w:sz="6" w:space="0" w:color="CCCCCC"/>
              <w:right w:val="single" w:sz="6" w:space="0" w:color="CCCCCC"/>
            </w:tcBorders>
            <w:shd w:val="clear" w:color="auto" w:fill="FFFFFF"/>
          </w:tcPr>
          <w:p w14:paraId="2E03801C" w14:textId="77777777" w:rsidR="009179B7" w:rsidRDefault="009179B7" w:rsidP="009179B7">
            <w:pPr>
              <w:rPr>
                <w:rFonts w:ascii="Arial" w:eastAsia="Times New Roman" w:hAnsi="Arial" w:cs="Arial"/>
                <w:sz w:val="20"/>
                <w:szCs w:val="20"/>
              </w:rPr>
            </w:pPr>
            <w:r w:rsidRPr="00B453B3">
              <w:rPr>
                <w:rFonts w:ascii="Arial" w:eastAsia="Times New Roman" w:hAnsi="Arial" w:cs="Arial"/>
                <w:sz w:val="20"/>
                <w:szCs w:val="20"/>
              </w:rPr>
              <w:t>http://www.washingtonpost.com/wp-dyn/content/article/2009/05/17/AR2009051702053.html</w:t>
            </w:r>
          </w:p>
        </w:tc>
      </w:tr>
      <w:tr w:rsidR="009179B7" w:rsidRPr="00B453B3" w14:paraId="0EFFCF65" w14:textId="77777777" w:rsidTr="009179B7">
        <w:trPr>
          <w:trHeight w:val="243"/>
        </w:trPr>
        <w:tc>
          <w:tcPr>
            <w:tcW w:w="9405" w:type="dxa"/>
            <w:gridSpan w:val="4"/>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30" w:type="dxa"/>
              <w:left w:w="45" w:type="dxa"/>
              <w:bottom w:w="30" w:type="dxa"/>
              <w:right w:w="45" w:type="dxa"/>
            </w:tcMar>
          </w:tcPr>
          <w:p w14:paraId="2B12E59F" w14:textId="7548A736" w:rsidR="009179B7" w:rsidRPr="00310519" w:rsidRDefault="00310519" w:rsidP="009179B7">
            <w:pPr>
              <w:rPr>
                <w:rFonts w:ascii="Arial" w:eastAsia="Times New Roman" w:hAnsi="Arial" w:cs="Arial"/>
                <w:b/>
                <w:sz w:val="20"/>
                <w:szCs w:val="20"/>
              </w:rPr>
            </w:pPr>
            <w:r>
              <w:rPr>
                <w:rFonts w:ascii="Arial" w:eastAsia="Times New Roman" w:hAnsi="Arial" w:cs="Arial"/>
                <w:b/>
                <w:sz w:val="20"/>
                <w:szCs w:val="20"/>
              </w:rPr>
              <w:t xml:space="preserve">Module 4 - </w:t>
            </w:r>
            <w:r w:rsidR="009179B7" w:rsidRPr="00310519">
              <w:rPr>
                <w:rFonts w:ascii="Arial" w:eastAsia="Times New Roman" w:hAnsi="Arial" w:cs="Arial"/>
                <w:b/>
                <w:sz w:val="20"/>
                <w:szCs w:val="20"/>
              </w:rPr>
              <w:t>Gender / Sexual Identity</w:t>
            </w:r>
          </w:p>
        </w:tc>
      </w:tr>
      <w:tr w:rsidR="009179B7" w:rsidRPr="00B453B3" w14:paraId="4C3A85EE"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6C405E0"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A Labor Market Punishin</w:t>
            </w:r>
            <w:r>
              <w:rPr>
                <w:rFonts w:ascii="Arial" w:eastAsia="Times New Roman" w:hAnsi="Arial" w:cs="Arial"/>
                <w:sz w:val="20"/>
                <w:szCs w:val="20"/>
              </w:rPr>
              <w:t>g to Mothers’ – NY Times, 2010</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29220DFC" w14:textId="77777777" w:rsidR="009179B7" w:rsidRPr="00534807" w:rsidRDefault="009179B7" w:rsidP="009179B7">
            <w:pPr>
              <w:rPr>
                <w:rFonts w:ascii="Arial" w:eastAsia="Times New Roman" w:hAnsi="Arial" w:cs="Arial"/>
                <w:sz w:val="20"/>
                <w:szCs w:val="20"/>
              </w:rPr>
            </w:pPr>
            <w:r w:rsidRPr="00534807">
              <w:rPr>
                <w:rFonts w:ascii="Arial" w:eastAsia="Times New Roman" w:hAnsi="Arial" w:cs="Arial"/>
                <w:sz w:val="20"/>
                <w:szCs w:val="20"/>
              </w:rPr>
              <w:t xml:space="preserve">David </w:t>
            </w:r>
            <w:proofErr w:type="spellStart"/>
            <w:r w:rsidRPr="00534807">
              <w:rPr>
                <w:rFonts w:ascii="Arial" w:eastAsia="Times New Roman" w:hAnsi="Arial" w:cs="Arial"/>
                <w:sz w:val="20"/>
                <w:szCs w:val="20"/>
              </w:rPr>
              <w:t>Leonhardt</w:t>
            </w:r>
            <w:proofErr w:type="spellEnd"/>
          </w:p>
          <w:p w14:paraId="1A7F4B73" w14:textId="77777777" w:rsidR="009179B7" w:rsidRDefault="009179B7" w:rsidP="009179B7">
            <w:pPr>
              <w:rPr>
                <w:rFonts w:ascii="Arial" w:eastAsia="Times New Roman" w:hAnsi="Arial" w:cs="Arial"/>
                <w:sz w:val="20"/>
                <w:szCs w:val="20"/>
              </w:rPr>
            </w:pPr>
          </w:p>
        </w:tc>
        <w:tc>
          <w:tcPr>
            <w:tcW w:w="1710" w:type="dxa"/>
            <w:tcBorders>
              <w:top w:val="single" w:sz="6" w:space="0" w:color="CCCCCC"/>
              <w:left w:val="single" w:sz="6" w:space="0" w:color="CCCCCC"/>
              <w:bottom w:val="single" w:sz="6" w:space="0" w:color="CCCCCC"/>
              <w:right w:val="single" w:sz="6" w:space="0" w:color="CCCCCC"/>
            </w:tcBorders>
            <w:shd w:val="clear" w:color="auto" w:fill="FFFFFF"/>
          </w:tcPr>
          <w:p w14:paraId="207E3885" w14:textId="77777777" w:rsidR="009179B7" w:rsidRPr="00B453B3" w:rsidRDefault="009179B7" w:rsidP="009179B7">
            <w:pPr>
              <w:rPr>
                <w:rFonts w:ascii="Arial" w:eastAsia="Times New Roman" w:hAnsi="Arial" w:cs="Arial"/>
                <w:sz w:val="20"/>
                <w:szCs w:val="20"/>
              </w:rPr>
            </w:pPr>
            <w:r>
              <w:rPr>
                <w:rFonts w:ascii="Arial" w:eastAsia="Times New Roman" w:hAnsi="Arial" w:cs="Arial"/>
                <w:sz w:val="20"/>
                <w:szCs w:val="20"/>
              </w:rPr>
              <w:t>External Resource</w:t>
            </w:r>
          </w:p>
        </w:tc>
        <w:tc>
          <w:tcPr>
            <w:tcW w:w="1935" w:type="dxa"/>
            <w:tcBorders>
              <w:top w:val="single" w:sz="6" w:space="0" w:color="CCCCCC"/>
              <w:left w:val="single" w:sz="6" w:space="0" w:color="CCCCCC"/>
              <w:bottom w:val="single" w:sz="6" w:space="0" w:color="CCCCCC"/>
              <w:right w:val="single" w:sz="6" w:space="0" w:color="CCCCCC"/>
            </w:tcBorders>
            <w:shd w:val="clear" w:color="auto" w:fill="FFFFFF"/>
          </w:tcPr>
          <w:p w14:paraId="254B1392" w14:textId="77777777" w:rsidR="009179B7" w:rsidRDefault="009179B7" w:rsidP="009179B7">
            <w:pPr>
              <w:rPr>
                <w:rFonts w:ascii="Arial" w:eastAsia="Times New Roman" w:hAnsi="Arial" w:cs="Arial"/>
                <w:sz w:val="20"/>
                <w:szCs w:val="20"/>
              </w:rPr>
            </w:pPr>
            <w:r w:rsidRPr="00B453B3">
              <w:rPr>
                <w:rFonts w:ascii="Arial" w:eastAsia="Times New Roman" w:hAnsi="Arial" w:cs="Arial"/>
                <w:sz w:val="20"/>
                <w:szCs w:val="20"/>
              </w:rPr>
              <w:t>http://www.nytimes.com/2010/08/04/business/economy/04leonhardt.html</w:t>
            </w:r>
            <w:proofErr w:type="gramStart"/>
            <w:r w:rsidRPr="00B453B3">
              <w:rPr>
                <w:rFonts w:ascii="Arial" w:eastAsia="Times New Roman" w:hAnsi="Arial" w:cs="Arial"/>
                <w:sz w:val="20"/>
                <w:szCs w:val="20"/>
              </w:rPr>
              <w:t>?_</w:t>
            </w:r>
            <w:proofErr w:type="gramEnd"/>
            <w:r w:rsidRPr="00B453B3">
              <w:rPr>
                <w:rFonts w:ascii="Arial" w:eastAsia="Times New Roman" w:hAnsi="Arial" w:cs="Arial"/>
                <w:sz w:val="20"/>
                <w:szCs w:val="20"/>
              </w:rPr>
              <w:t>r=0</w:t>
            </w:r>
          </w:p>
        </w:tc>
      </w:tr>
      <w:tr w:rsidR="009179B7" w:rsidRPr="00B453B3" w14:paraId="4003177F"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7C30D6A5"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‘A Motherhood Penalty vs. a Fatherhood Bonus’ – NY Times, 2014</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78A77A50" w14:textId="77777777" w:rsidR="009179B7" w:rsidRPr="00534807" w:rsidRDefault="009179B7" w:rsidP="009179B7">
            <w:pPr>
              <w:rPr>
                <w:rFonts w:ascii="Times" w:eastAsia="Times New Roman" w:hAnsi="Times" w:cs="Times New Roman"/>
                <w:sz w:val="20"/>
                <w:szCs w:val="20"/>
              </w:rPr>
            </w:pPr>
            <w:hyperlink r:id="rId9" w:tooltip="More Articles by CLAIRE CAIN MILLER" w:history="1">
              <w:r w:rsidRPr="00534807">
                <w:rPr>
                  <w:rFonts w:ascii="Arial" w:eastAsia="Times New Roman" w:hAnsi="Arial" w:cs="Arial"/>
                  <w:sz w:val="20"/>
                  <w:szCs w:val="20"/>
                </w:rPr>
                <w:t>Claire Cain Miller</w:t>
              </w:r>
            </w:hyperlink>
          </w:p>
          <w:p w14:paraId="4C0C515D" w14:textId="77777777" w:rsidR="009179B7" w:rsidRDefault="009179B7" w:rsidP="009179B7">
            <w:pPr>
              <w:rPr>
                <w:rFonts w:ascii="Arial" w:eastAsia="Times New Roman" w:hAnsi="Arial" w:cs="Arial"/>
                <w:sz w:val="20"/>
                <w:szCs w:val="20"/>
              </w:rPr>
            </w:pPr>
          </w:p>
        </w:tc>
        <w:tc>
          <w:tcPr>
            <w:tcW w:w="1710" w:type="dxa"/>
            <w:tcBorders>
              <w:top w:val="single" w:sz="6" w:space="0" w:color="CCCCCC"/>
              <w:left w:val="single" w:sz="6" w:space="0" w:color="CCCCCC"/>
              <w:bottom w:val="single" w:sz="6" w:space="0" w:color="CCCCCC"/>
              <w:right w:val="single" w:sz="6" w:space="0" w:color="CCCCCC"/>
            </w:tcBorders>
            <w:shd w:val="clear" w:color="auto" w:fill="FFFFFF"/>
          </w:tcPr>
          <w:p w14:paraId="0F9A31D5" w14:textId="77777777" w:rsidR="009179B7" w:rsidRPr="00B453B3" w:rsidRDefault="009179B7" w:rsidP="009179B7">
            <w:pPr>
              <w:rPr>
                <w:rFonts w:ascii="Arial" w:eastAsia="Times New Roman" w:hAnsi="Arial" w:cs="Arial"/>
                <w:sz w:val="20"/>
                <w:szCs w:val="20"/>
              </w:rPr>
            </w:pPr>
            <w:r>
              <w:rPr>
                <w:rFonts w:ascii="Arial" w:eastAsia="Times New Roman" w:hAnsi="Arial" w:cs="Arial"/>
                <w:sz w:val="20"/>
                <w:szCs w:val="20"/>
              </w:rPr>
              <w:t>External Resource</w:t>
            </w:r>
          </w:p>
        </w:tc>
        <w:tc>
          <w:tcPr>
            <w:tcW w:w="1935" w:type="dxa"/>
            <w:tcBorders>
              <w:top w:val="single" w:sz="6" w:space="0" w:color="CCCCCC"/>
              <w:left w:val="single" w:sz="6" w:space="0" w:color="CCCCCC"/>
              <w:bottom w:val="single" w:sz="6" w:space="0" w:color="CCCCCC"/>
              <w:right w:val="single" w:sz="6" w:space="0" w:color="CCCCCC"/>
            </w:tcBorders>
            <w:shd w:val="clear" w:color="auto" w:fill="FFFFFF"/>
          </w:tcPr>
          <w:p w14:paraId="29767213" w14:textId="77777777" w:rsidR="009179B7" w:rsidRDefault="009179B7" w:rsidP="009179B7">
            <w:pPr>
              <w:rPr>
                <w:rFonts w:ascii="Arial" w:eastAsia="Times New Roman" w:hAnsi="Arial" w:cs="Arial"/>
                <w:sz w:val="20"/>
                <w:szCs w:val="20"/>
              </w:rPr>
            </w:pPr>
            <w:r w:rsidRPr="00B453B3">
              <w:rPr>
                <w:rFonts w:ascii="Arial" w:eastAsia="Times New Roman" w:hAnsi="Arial" w:cs="Arial"/>
                <w:sz w:val="20"/>
                <w:szCs w:val="20"/>
              </w:rPr>
              <w:t>http://www.nytimes.com/2014/09/07/upshot/a-child-helps-your-career-if-youre-a-man.html</w:t>
            </w:r>
          </w:p>
        </w:tc>
      </w:tr>
      <w:tr w:rsidR="009179B7" w:rsidRPr="00B453B3" w14:paraId="2284ABFE"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51A93FBF"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‘Gener</w:t>
            </w:r>
            <w:r>
              <w:rPr>
                <w:rFonts w:ascii="Arial" w:eastAsia="Times New Roman" w:hAnsi="Arial" w:cs="Arial"/>
                <w:sz w:val="20"/>
                <w:szCs w:val="20"/>
              </w:rPr>
              <w:t>ation LGBTQIA’ – NY Times, 2013</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64FF6FB5" w14:textId="77777777" w:rsidR="009179B7" w:rsidRPr="00534807" w:rsidRDefault="009179B7" w:rsidP="009179B7">
            <w:pPr>
              <w:rPr>
                <w:rFonts w:ascii="Arial" w:eastAsia="Times New Roman" w:hAnsi="Arial" w:cs="Arial"/>
                <w:sz w:val="20"/>
                <w:szCs w:val="20"/>
              </w:rPr>
            </w:pPr>
            <w:r>
              <w:rPr>
                <w:rFonts w:ascii="Arial" w:eastAsia="Times New Roman" w:hAnsi="Arial" w:cs="Arial"/>
                <w:sz w:val="20"/>
                <w:szCs w:val="20"/>
              </w:rPr>
              <w:t xml:space="preserve">Michael Schulman </w:t>
            </w:r>
          </w:p>
          <w:p w14:paraId="366D4D1E" w14:textId="77777777" w:rsidR="009179B7" w:rsidRDefault="009179B7" w:rsidP="009179B7">
            <w:pPr>
              <w:rPr>
                <w:rFonts w:ascii="Arial" w:eastAsia="Times New Roman" w:hAnsi="Arial" w:cs="Arial"/>
                <w:sz w:val="20"/>
                <w:szCs w:val="20"/>
              </w:rPr>
            </w:pPr>
          </w:p>
        </w:tc>
        <w:tc>
          <w:tcPr>
            <w:tcW w:w="1710" w:type="dxa"/>
            <w:tcBorders>
              <w:top w:val="single" w:sz="6" w:space="0" w:color="CCCCCC"/>
              <w:left w:val="single" w:sz="6" w:space="0" w:color="CCCCCC"/>
              <w:bottom w:val="single" w:sz="6" w:space="0" w:color="CCCCCC"/>
              <w:right w:val="single" w:sz="6" w:space="0" w:color="CCCCCC"/>
            </w:tcBorders>
            <w:shd w:val="clear" w:color="auto" w:fill="FFFFFF"/>
          </w:tcPr>
          <w:p w14:paraId="1A3453FD" w14:textId="77777777" w:rsidR="009179B7" w:rsidRPr="00B453B3" w:rsidRDefault="009179B7" w:rsidP="009179B7">
            <w:pPr>
              <w:rPr>
                <w:rFonts w:ascii="Arial" w:eastAsia="Times New Roman" w:hAnsi="Arial" w:cs="Arial"/>
                <w:sz w:val="20"/>
                <w:szCs w:val="20"/>
              </w:rPr>
            </w:pPr>
            <w:r>
              <w:rPr>
                <w:rFonts w:ascii="Arial" w:eastAsia="Times New Roman" w:hAnsi="Arial" w:cs="Arial"/>
                <w:sz w:val="20"/>
                <w:szCs w:val="20"/>
              </w:rPr>
              <w:t>External Resource</w:t>
            </w:r>
          </w:p>
        </w:tc>
        <w:tc>
          <w:tcPr>
            <w:tcW w:w="1935" w:type="dxa"/>
            <w:tcBorders>
              <w:top w:val="single" w:sz="6" w:space="0" w:color="CCCCCC"/>
              <w:left w:val="single" w:sz="6" w:space="0" w:color="CCCCCC"/>
              <w:bottom w:val="single" w:sz="6" w:space="0" w:color="CCCCCC"/>
              <w:right w:val="single" w:sz="6" w:space="0" w:color="CCCCCC"/>
            </w:tcBorders>
            <w:shd w:val="clear" w:color="auto" w:fill="FFFFFF"/>
          </w:tcPr>
          <w:p w14:paraId="6486CD73" w14:textId="77777777" w:rsidR="009179B7" w:rsidRDefault="009179B7" w:rsidP="009179B7">
            <w:pPr>
              <w:rPr>
                <w:rFonts w:ascii="Arial" w:eastAsia="Times New Roman" w:hAnsi="Arial" w:cs="Arial"/>
                <w:sz w:val="20"/>
                <w:szCs w:val="20"/>
              </w:rPr>
            </w:pPr>
            <w:r w:rsidRPr="00B453B3">
              <w:rPr>
                <w:rFonts w:ascii="Arial" w:eastAsia="Times New Roman" w:hAnsi="Arial" w:cs="Arial"/>
                <w:sz w:val="20"/>
                <w:szCs w:val="20"/>
              </w:rPr>
              <w:t>http://www.nytimes.com/2013/01/10/fashion/generation-lgbtqia.html</w:t>
            </w:r>
            <w:proofErr w:type="gramStart"/>
            <w:r w:rsidRPr="00B453B3">
              <w:rPr>
                <w:rFonts w:ascii="Arial" w:eastAsia="Times New Roman" w:hAnsi="Arial" w:cs="Arial"/>
                <w:sz w:val="20"/>
                <w:szCs w:val="20"/>
              </w:rPr>
              <w:t>?pagewanted</w:t>
            </w:r>
            <w:proofErr w:type="gramEnd"/>
            <w:r w:rsidRPr="00B453B3">
              <w:rPr>
                <w:rFonts w:ascii="Arial" w:eastAsia="Times New Roman" w:hAnsi="Arial" w:cs="Arial"/>
                <w:sz w:val="20"/>
                <w:szCs w:val="20"/>
              </w:rPr>
              <w:t>=all</w:t>
            </w:r>
          </w:p>
        </w:tc>
      </w:tr>
      <w:tr w:rsidR="009179B7" w:rsidRPr="00B453B3" w14:paraId="26E75212" w14:textId="77777777" w:rsidTr="009179B7">
        <w:trPr>
          <w:trHeight w:val="243"/>
        </w:trPr>
        <w:tc>
          <w:tcPr>
            <w:tcW w:w="9405" w:type="dxa"/>
            <w:gridSpan w:val="4"/>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30" w:type="dxa"/>
              <w:left w:w="45" w:type="dxa"/>
              <w:bottom w:w="30" w:type="dxa"/>
              <w:right w:w="45" w:type="dxa"/>
            </w:tcMar>
          </w:tcPr>
          <w:p w14:paraId="56C6E260" w14:textId="7F43B4BB" w:rsidR="009179B7" w:rsidRPr="00310519" w:rsidRDefault="00310519" w:rsidP="009179B7">
            <w:pPr>
              <w:rPr>
                <w:rFonts w:ascii="Arial" w:eastAsia="Times New Roman" w:hAnsi="Arial" w:cs="Arial"/>
                <w:b/>
                <w:sz w:val="20"/>
                <w:szCs w:val="20"/>
              </w:rPr>
            </w:pPr>
            <w:r>
              <w:rPr>
                <w:rFonts w:ascii="Arial" w:eastAsia="Times New Roman" w:hAnsi="Arial" w:cs="Arial"/>
                <w:b/>
                <w:sz w:val="20"/>
                <w:szCs w:val="20"/>
              </w:rPr>
              <w:t xml:space="preserve">Module 5 - </w:t>
            </w:r>
            <w:r w:rsidR="009179B7" w:rsidRPr="00310519">
              <w:rPr>
                <w:rFonts w:ascii="Arial" w:eastAsia="Times New Roman" w:hAnsi="Arial" w:cs="Arial"/>
                <w:b/>
                <w:sz w:val="20"/>
                <w:szCs w:val="20"/>
              </w:rPr>
              <w:t>Exceptionality</w:t>
            </w:r>
          </w:p>
        </w:tc>
      </w:tr>
      <w:tr w:rsidR="009179B7" w:rsidRPr="00B453B3" w14:paraId="23D36C3A"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1344442C"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 xml:space="preserve">‘What Should Teachers Do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3CF81856" w14:textId="77777777" w:rsidR="009179B7" w:rsidRDefault="009179B7" w:rsidP="009179B7">
            <w:pPr>
              <w:rPr>
                <w:rFonts w:ascii="Arial" w:eastAsia="Times New Roman" w:hAnsi="Arial" w:cs="Arial"/>
                <w:sz w:val="20"/>
                <w:szCs w:val="20"/>
              </w:rPr>
            </w:pPr>
            <w:r w:rsidRPr="00B453B3">
              <w:rPr>
                <w:rFonts w:ascii="Arial" w:eastAsia="Times New Roman" w:hAnsi="Arial" w:cs="Arial"/>
                <w:sz w:val="20"/>
                <w:szCs w:val="20"/>
              </w:rPr>
              <w:t xml:space="preserve">Lisa </w:t>
            </w:r>
            <w:proofErr w:type="spellStart"/>
            <w:r w:rsidRPr="00B453B3">
              <w:rPr>
                <w:rFonts w:ascii="Arial" w:eastAsia="Times New Roman" w:hAnsi="Arial" w:cs="Arial"/>
                <w:sz w:val="20"/>
                <w:szCs w:val="20"/>
              </w:rPr>
              <w:t>Delpit</w:t>
            </w:r>
            <w:proofErr w:type="spellEnd"/>
          </w:p>
        </w:tc>
        <w:tc>
          <w:tcPr>
            <w:tcW w:w="1710" w:type="dxa"/>
            <w:tcBorders>
              <w:top w:val="single" w:sz="6" w:space="0" w:color="CCCCCC"/>
              <w:left w:val="single" w:sz="6" w:space="0" w:color="CCCCCC"/>
              <w:bottom w:val="single" w:sz="6" w:space="0" w:color="CCCCCC"/>
              <w:right w:val="single" w:sz="6" w:space="0" w:color="CCCCCC"/>
            </w:tcBorders>
            <w:shd w:val="clear" w:color="auto" w:fill="FFFFFF"/>
          </w:tcPr>
          <w:p w14:paraId="14CA789B" w14:textId="77777777" w:rsidR="009179B7" w:rsidRPr="00B453B3" w:rsidRDefault="009179B7" w:rsidP="009179B7">
            <w:pPr>
              <w:rPr>
                <w:rFonts w:ascii="Arial" w:eastAsia="Times New Roman" w:hAnsi="Arial" w:cs="Arial"/>
                <w:sz w:val="20"/>
                <w:szCs w:val="20"/>
              </w:rPr>
            </w:pPr>
            <w:r>
              <w:rPr>
                <w:rFonts w:ascii="Arial" w:eastAsia="Times New Roman" w:hAnsi="Arial" w:cs="Arial"/>
                <w:sz w:val="20"/>
                <w:szCs w:val="20"/>
              </w:rPr>
              <w:t>External Resource</w:t>
            </w:r>
          </w:p>
        </w:tc>
        <w:tc>
          <w:tcPr>
            <w:tcW w:w="1935" w:type="dxa"/>
            <w:tcBorders>
              <w:top w:val="single" w:sz="6" w:space="0" w:color="CCCCCC"/>
              <w:left w:val="single" w:sz="6" w:space="0" w:color="CCCCCC"/>
              <w:bottom w:val="single" w:sz="6" w:space="0" w:color="CCCCCC"/>
              <w:right w:val="single" w:sz="6" w:space="0" w:color="CCCCCC"/>
            </w:tcBorders>
            <w:shd w:val="clear" w:color="auto" w:fill="FFFFFF"/>
          </w:tcPr>
          <w:p w14:paraId="36819239" w14:textId="77777777" w:rsidR="009179B7" w:rsidRDefault="009179B7" w:rsidP="009179B7">
            <w:pPr>
              <w:rPr>
                <w:rFonts w:ascii="Arial" w:eastAsia="Times New Roman" w:hAnsi="Arial" w:cs="Arial"/>
                <w:sz w:val="20"/>
                <w:szCs w:val="20"/>
              </w:rPr>
            </w:pPr>
            <w:r w:rsidRPr="00B453B3">
              <w:rPr>
                <w:rFonts w:ascii="Arial" w:eastAsia="Times New Roman" w:hAnsi="Arial" w:cs="Arial"/>
                <w:sz w:val="20"/>
                <w:szCs w:val="20"/>
              </w:rPr>
              <w:t>http://www.rethinkingschools.org/publication/ebonics/ebdelpit.shtml</w:t>
            </w:r>
          </w:p>
        </w:tc>
      </w:tr>
      <w:tr w:rsidR="009179B7" w:rsidRPr="00B453B3" w14:paraId="6B60E22F" w14:textId="77777777" w:rsidTr="009179B7">
        <w:trPr>
          <w:trHeight w:val="243"/>
        </w:trPr>
        <w:tc>
          <w:tcPr>
            <w:tcW w:w="9405" w:type="dxa"/>
            <w:gridSpan w:val="4"/>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30" w:type="dxa"/>
              <w:left w:w="45" w:type="dxa"/>
              <w:bottom w:w="30" w:type="dxa"/>
              <w:right w:w="45" w:type="dxa"/>
            </w:tcMar>
          </w:tcPr>
          <w:p w14:paraId="00EBA68B" w14:textId="63795C59" w:rsidR="009179B7" w:rsidRPr="00310519" w:rsidRDefault="00310519" w:rsidP="009179B7">
            <w:pPr>
              <w:rPr>
                <w:rFonts w:ascii="Arial" w:eastAsia="Times New Roman" w:hAnsi="Arial" w:cs="Arial"/>
                <w:b/>
                <w:sz w:val="20"/>
                <w:szCs w:val="20"/>
              </w:rPr>
            </w:pPr>
            <w:r>
              <w:rPr>
                <w:rFonts w:ascii="Arial" w:eastAsia="Times New Roman" w:hAnsi="Arial" w:cs="Arial"/>
                <w:b/>
                <w:sz w:val="20"/>
                <w:szCs w:val="20"/>
              </w:rPr>
              <w:t xml:space="preserve">Module 6 - </w:t>
            </w:r>
            <w:r w:rsidR="009179B7" w:rsidRPr="00310519">
              <w:rPr>
                <w:rFonts w:ascii="Arial" w:eastAsia="Times New Roman" w:hAnsi="Arial" w:cs="Arial"/>
                <w:b/>
                <w:sz w:val="20"/>
                <w:szCs w:val="20"/>
              </w:rPr>
              <w:t>Language, Immigration, and Geography</w:t>
            </w:r>
          </w:p>
        </w:tc>
      </w:tr>
      <w:tr w:rsidR="009179B7" w:rsidRPr="00B453B3" w14:paraId="11FA7B99"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D20E0C"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 xml:space="preserve">‘In Arizona, Complaints </w:t>
            </w:r>
            <w:r>
              <w:rPr>
                <w:rFonts w:ascii="Arial" w:eastAsia="Times New Roman" w:hAnsi="Arial" w:cs="Arial"/>
                <w:sz w:val="20"/>
                <w:szCs w:val="20"/>
              </w:rPr>
              <w:t xml:space="preserve">of an Accent’ – NY Times, 2011 </w:t>
            </w:r>
          </w:p>
        </w:tc>
        <w:tc>
          <w:tcPr>
            <w:tcW w:w="1530" w:type="dxa"/>
            <w:tcBorders>
              <w:top w:val="single" w:sz="6" w:space="0" w:color="CCCCCC"/>
              <w:left w:val="single" w:sz="6" w:space="0" w:color="CCCCCC"/>
              <w:bottom w:val="single" w:sz="6" w:space="0" w:color="CCCCCC"/>
              <w:right w:val="single" w:sz="6" w:space="0" w:color="CCCCCC"/>
            </w:tcBorders>
          </w:tcPr>
          <w:p w14:paraId="5B71DA2B" w14:textId="77777777" w:rsidR="009179B7" w:rsidRDefault="009179B7" w:rsidP="009179B7">
            <w:pPr>
              <w:rPr>
                <w:rFonts w:ascii="Arial" w:eastAsia="Times New Roman" w:hAnsi="Arial" w:cs="Arial"/>
                <w:sz w:val="20"/>
                <w:szCs w:val="20"/>
              </w:rPr>
            </w:pPr>
            <w:r>
              <w:rPr>
                <w:rFonts w:ascii="Arial" w:eastAsia="Times New Roman" w:hAnsi="Arial" w:cs="Arial"/>
                <w:sz w:val="20"/>
                <w:szCs w:val="20"/>
              </w:rPr>
              <w:t>Marc Lacey</w:t>
            </w:r>
          </w:p>
        </w:tc>
        <w:tc>
          <w:tcPr>
            <w:tcW w:w="1710" w:type="dxa"/>
            <w:tcBorders>
              <w:top w:val="single" w:sz="6" w:space="0" w:color="CCCCCC"/>
              <w:left w:val="single" w:sz="6" w:space="0" w:color="CCCCCC"/>
              <w:bottom w:val="single" w:sz="6" w:space="0" w:color="CCCCCC"/>
              <w:right w:val="single" w:sz="6" w:space="0" w:color="CCCCCC"/>
            </w:tcBorders>
          </w:tcPr>
          <w:p w14:paraId="39CB8E8B" w14:textId="77777777" w:rsidR="009179B7" w:rsidRPr="00B453B3" w:rsidRDefault="009179B7" w:rsidP="009179B7">
            <w:pPr>
              <w:rPr>
                <w:rFonts w:ascii="Arial" w:eastAsia="Times New Roman" w:hAnsi="Arial" w:cs="Arial"/>
                <w:sz w:val="20"/>
                <w:szCs w:val="20"/>
              </w:rPr>
            </w:pPr>
            <w:r>
              <w:rPr>
                <w:rFonts w:ascii="Arial" w:eastAsia="Times New Roman" w:hAnsi="Arial" w:cs="Arial"/>
                <w:sz w:val="20"/>
                <w:szCs w:val="20"/>
              </w:rPr>
              <w:t>External Resource</w:t>
            </w:r>
          </w:p>
        </w:tc>
        <w:tc>
          <w:tcPr>
            <w:tcW w:w="1935" w:type="dxa"/>
            <w:tcBorders>
              <w:top w:val="single" w:sz="6" w:space="0" w:color="CCCCCC"/>
              <w:left w:val="single" w:sz="6" w:space="0" w:color="CCCCCC"/>
              <w:bottom w:val="single" w:sz="6" w:space="0" w:color="CCCCCC"/>
              <w:right w:val="single" w:sz="6" w:space="0" w:color="CCCCCC"/>
            </w:tcBorders>
          </w:tcPr>
          <w:p w14:paraId="51284C0D" w14:textId="77777777" w:rsidR="009179B7" w:rsidRDefault="009179B7" w:rsidP="009179B7">
            <w:pPr>
              <w:rPr>
                <w:rFonts w:ascii="Arial" w:eastAsia="Times New Roman" w:hAnsi="Arial" w:cs="Arial"/>
                <w:sz w:val="20"/>
                <w:szCs w:val="20"/>
              </w:rPr>
            </w:pPr>
            <w:r w:rsidRPr="00B453B3">
              <w:rPr>
                <w:rFonts w:ascii="Arial" w:eastAsia="Times New Roman" w:hAnsi="Arial" w:cs="Arial"/>
                <w:sz w:val="20"/>
                <w:szCs w:val="20"/>
              </w:rPr>
              <w:t>http://www.nytimes.com/2011/09/25/us/in-arizona-complaints-that-an-accent-can-hinder-a-teachers-career.html</w:t>
            </w:r>
            <w:proofErr w:type="gramStart"/>
            <w:r w:rsidRPr="00B453B3">
              <w:rPr>
                <w:rFonts w:ascii="Arial" w:eastAsia="Times New Roman" w:hAnsi="Arial" w:cs="Arial"/>
                <w:sz w:val="20"/>
                <w:szCs w:val="20"/>
              </w:rPr>
              <w:t>?pagewanted</w:t>
            </w:r>
            <w:proofErr w:type="gramEnd"/>
            <w:r w:rsidRPr="00B453B3">
              <w:rPr>
                <w:rFonts w:ascii="Arial" w:eastAsia="Times New Roman" w:hAnsi="Arial" w:cs="Arial"/>
                <w:sz w:val="20"/>
                <w:szCs w:val="20"/>
              </w:rPr>
              <w:t>=all</w:t>
            </w:r>
          </w:p>
        </w:tc>
      </w:tr>
      <w:tr w:rsidR="009179B7" w:rsidRPr="00B453B3" w14:paraId="13A2E58B"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51644D23"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Let The</w:t>
            </w:r>
            <w:r>
              <w:rPr>
                <w:rFonts w:ascii="Arial" w:eastAsia="Times New Roman" w:hAnsi="Arial" w:cs="Arial"/>
                <w:sz w:val="20"/>
                <w:szCs w:val="20"/>
              </w:rPr>
              <w:t xml:space="preserve">m In’ – Forbes, 2010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FF0062B" w14:textId="77777777" w:rsidR="009179B7" w:rsidRPr="006411FB" w:rsidRDefault="009179B7" w:rsidP="009179B7">
            <w:pPr>
              <w:rPr>
                <w:rFonts w:ascii="Arial" w:eastAsia="Times New Roman" w:hAnsi="Arial" w:cs="Arial"/>
                <w:sz w:val="20"/>
                <w:szCs w:val="20"/>
              </w:rPr>
            </w:pPr>
            <w:r w:rsidRPr="006411FB">
              <w:rPr>
                <w:rFonts w:ascii="Arial" w:eastAsia="Times New Roman" w:hAnsi="Arial" w:cs="Arial"/>
                <w:sz w:val="20"/>
                <w:szCs w:val="20"/>
              </w:rPr>
              <w:t xml:space="preserve">Philippe </w:t>
            </w:r>
            <w:proofErr w:type="spellStart"/>
            <w:r w:rsidRPr="006411FB">
              <w:rPr>
                <w:rFonts w:ascii="Arial" w:eastAsia="Times New Roman" w:hAnsi="Arial" w:cs="Arial"/>
                <w:sz w:val="20"/>
                <w:szCs w:val="20"/>
              </w:rPr>
              <w:t>Legrain</w:t>
            </w:r>
            <w:proofErr w:type="spellEnd"/>
          </w:p>
          <w:p w14:paraId="062959EB" w14:textId="77777777" w:rsidR="009179B7" w:rsidRDefault="009179B7" w:rsidP="009179B7">
            <w:pPr>
              <w:rPr>
                <w:rFonts w:ascii="Arial" w:eastAsia="Times New Roman" w:hAnsi="Arial" w:cs="Arial"/>
                <w:sz w:val="20"/>
                <w:szCs w:val="20"/>
              </w:rPr>
            </w:pPr>
          </w:p>
        </w:tc>
        <w:tc>
          <w:tcPr>
            <w:tcW w:w="1710"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7B6B4BFB" w14:textId="77777777" w:rsidR="009179B7" w:rsidRPr="00B453B3" w:rsidRDefault="009179B7" w:rsidP="009179B7">
            <w:pPr>
              <w:rPr>
                <w:rFonts w:ascii="Arial" w:eastAsia="Times New Roman" w:hAnsi="Arial" w:cs="Arial"/>
                <w:sz w:val="20"/>
                <w:szCs w:val="20"/>
              </w:rPr>
            </w:pPr>
            <w:r>
              <w:rPr>
                <w:rFonts w:ascii="Arial" w:eastAsia="Times New Roman" w:hAnsi="Arial" w:cs="Arial"/>
                <w:sz w:val="20"/>
                <w:szCs w:val="20"/>
              </w:rPr>
              <w:t>External Resource</w:t>
            </w:r>
          </w:p>
        </w:tc>
        <w:tc>
          <w:tcPr>
            <w:tcW w:w="1935"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5E4EE48D" w14:textId="77777777" w:rsidR="009179B7" w:rsidRDefault="009179B7" w:rsidP="009179B7">
            <w:pPr>
              <w:rPr>
                <w:rFonts w:ascii="Arial" w:eastAsia="Times New Roman" w:hAnsi="Arial" w:cs="Arial"/>
                <w:sz w:val="20"/>
                <w:szCs w:val="20"/>
              </w:rPr>
            </w:pPr>
            <w:r w:rsidRPr="00B453B3">
              <w:rPr>
                <w:rFonts w:ascii="Arial" w:eastAsia="Times New Roman" w:hAnsi="Arial" w:cs="Arial"/>
                <w:sz w:val="20"/>
                <w:szCs w:val="20"/>
              </w:rPr>
              <w:t>http://www.forbes.com/forbes/2010/0628/special-report-immigration-opening-borders-mexico-let-</w:t>
            </w:r>
            <w:r w:rsidRPr="00B453B3">
              <w:rPr>
                <w:rFonts w:ascii="Arial" w:eastAsia="Times New Roman" w:hAnsi="Arial" w:cs="Arial"/>
                <w:sz w:val="20"/>
                <w:szCs w:val="20"/>
              </w:rPr>
              <w:lastRenderedPageBreak/>
              <w:t>them-in.html</w:t>
            </w:r>
          </w:p>
        </w:tc>
      </w:tr>
      <w:tr w:rsidR="009179B7" w:rsidRPr="00B453B3" w14:paraId="2E251883"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6B4CC3AF"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lastRenderedPageBreak/>
              <w:t>‘My Life as an Undocument</w:t>
            </w:r>
            <w:r>
              <w:rPr>
                <w:rFonts w:ascii="Arial" w:eastAsia="Times New Roman" w:hAnsi="Arial" w:cs="Arial"/>
                <w:sz w:val="20"/>
                <w:szCs w:val="20"/>
              </w:rPr>
              <w:t xml:space="preserve">ed Immigrant’ – NY Times, 2011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7AFC07A2" w14:textId="77777777" w:rsidR="009179B7" w:rsidRDefault="009179B7" w:rsidP="009179B7">
            <w:pPr>
              <w:rPr>
                <w:rFonts w:ascii="Arial" w:eastAsia="Times New Roman" w:hAnsi="Arial" w:cs="Arial"/>
                <w:sz w:val="20"/>
                <w:szCs w:val="20"/>
              </w:rPr>
            </w:pPr>
            <w:r>
              <w:rPr>
                <w:rFonts w:ascii="Arial" w:eastAsia="Times New Roman" w:hAnsi="Arial" w:cs="Arial"/>
                <w:sz w:val="20"/>
                <w:szCs w:val="20"/>
              </w:rPr>
              <w:t>Jose Antonio Vargas</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Pr>
          <w:p w14:paraId="31BDC3D2" w14:textId="77777777" w:rsidR="009179B7" w:rsidRPr="00B453B3" w:rsidRDefault="009179B7" w:rsidP="009179B7">
            <w:pPr>
              <w:rPr>
                <w:rFonts w:ascii="Arial" w:eastAsia="Times New Roman" w:hAnsi="Arial" w:cs="Arial"/>
                <w:sz w:val="20"/>
                <w:szCs w:val="20"/>
              </w:rPr>
            </w:pPr>
            <w:r>
              <w:rPr>
                <w:rFonts w:ascii="Arial" w:eastAsia="Times New Roman" w:hAnsi="Arial" w:cs="Arial"/>
                <w:sz w:val="20"/>
                <w:szCs w:val="20"/>
              </w:rPr>
              <w:t>External Resource</w:t>
            </w:r>
          </w:p>
        </w:tc>
        <w:tc>
          <w:tcPr>
            <w:tcW w:w="1935" w:type="dxa"/>
            <w:tcBorders>
              <w:top w:val="single" w:sz="6" w:space="0" w:color="CCCCCC"/>
              <w:left w:val="single" w:sz="6" w:space="0" w:color="CCCCCC"/>
              <w:bottom w:val="single" w:sz="6" w:space="0" w:color="CCCCCC"/>
              <w:right w:val="single" w:sz="6" w:space="0" w:color="CCCCCC"/>
            </w:tcBorders>
            <w:shd w:val="clear" w:color="auto" w:fill="FFFFFF"/>
          </w:tcPr>
          <w:p w14:paraId="580E0D67" w14:textId="77777777" w:rsidR="009179B7" w:rsidRDefault="009179B7" w:rsidP="009179B7">
            <w:pPr>
              <w:rPr>
                <w:rFonts w:ascii="Arial" w:eastAsia="Times New Roman" w:hAnsi="Arial" w:cs="Arial"/>
                <w:sz w:val="20"/>
                <w:szCs w:val="20"/>
              </w:rPr>
            </w:pPr>
            <w:r w:rsidRPr="00B453B3">
              <w:rPr>
                <w:rFonts w:ascii="Arial" w:eastAsia="Times New Roman" w:hAnsi="Arial" w:cs="Arial"/>
                <w:sz w:val="20"/>
                <w:szCs w:val="20"/>
              </w:rPr>
              <w:t>http://www.nytimes.com/2011/06/26/magazine/my-life-as-an-undocumented-immigrant.html</w:t>
            </w:r>
            <w:proofErr w:type="gramStart"/>
            <w:r w:rsidRPr="00B453B3">
              <w:rPr>
                <w:rFonts w:ascii="Arial" w:eastAsia="Times New Roman" w:hAnsi="Arial" w:cs="Arial"/>
                <w:sz w:val="20"/>
                <w:szCs w:val="20"/>
              </w:rPr>
              <w:t>?pagewanted</w:t>
            </w:r>
            <w:proofErr w:type="gramEnd"/>
            <w:r w:rsidRPr="00B453B3">
              <w:rPr>
                <w:rFonts w:ascii="Arial" w:eastAsia="Times New Roman" w:hAnsi="Arial" w:cs="Arial"/>
                <w:sz w:val="20"/>
                <w:szCs w:val="20"/>
              </w:rPr>
              <w:t>=all</w:t>
            </w:r>
          </w:p>
        </w:tc>
      </w:tr>
      <w:tr w:rsidR="009179B7" w:rsidRPr="00B453B3" w14:paraId="4C7CE638" w14:textId="77777777" w:rsidTr="009179B7">
        <w:trPr>
          <w:trHeight w:val="243"/>
        </w:trPr>
        <w:tc>
          <w:tcPr>
            <w:tcW w:w="9405" w:type="dxa"/>
            <w:gridSpan w:val="4"/>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30" w:type="dxa"/>
              <w:left w:w="45" w:type="dxa"/>
              <w:bottom w:w="30" w:type="dxa"/>
              <w:right w:w="45" w:type="dxa"/>
            </w:tcMar>
            <w:vAlign w:val="bottom"/>
          </w:tcPr>
          <w:p w14:paraId="602A293D" w14:textId="41D8AA42" w:rsidR="009179B7" w:rsidRPr="00310519" w:rsidRDefault="00310519" w:rsidP="009179B7">
            <w:pPr>
              <w:rPr>
                <w:rFonts w:ascii="Arial" w:eastAsia="Times New Roman" w:hAnsi="Arial" w:cs="Arial"/>
                <w:b/>
                <w:sz w:val="20"/>
                <w:szCs w:val="20"/>
              </w:rPr>
            </w:pPr>
            <w:r>
              <w:rPr>
                <w:rFonts w:ascii="Arial" w:eastAsia="Times New Roman" w:hAnsi="Arial" w:cs="Arial"/>
                <w:b/>
                <w:sz w:val="20"/>
                <w:szCs w:val="20"/>
              </w:rPr>
              <w:t xml:space="preserve">Module 7 - </w:t>
            </w:r>
            <w:r w:rsidR="009179B7" w:rsidRPr="00310519">
              <w:rPr>
                <w:rFonts w:ascii="Arial" w:eastAsia="Times New Roman" w:hAnsi="Arial" w:cs="Arial"/>
                <w:b/>
                <w:sz w:val="20"/>
                <w:szCs w:val="20"/>
              </w:rPr>
              <w:t>Religion</w:t>
            </w:r>
          </w:p>
        </w:tc>
      </w:tr>
      <w:tr w:rsidR="009179B7" w:rsidRPr="00B453B3" w14:paraId="56DE38DA" w14:textId="77777777" w:rsidTr="009179B7">
        <w:trPr>
          <w:trHeight w:val="243"/>
        </w:trPr>
        <w:tc>
          <w:tcPr>
            <w:tcW w:w="42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6E98E31C"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‘Ramadan Poses</w:t>
            </w:r>
            <w:r>
              <w:rPr>
                <w:rFonts w:ascii="Arial" w:eastAsia="Times New Roman" w:hAnsi="Arial" w:cs="Arial"/>
                <w:sz w:val="20"/>
                <w:szCs w:val="20"/>
              </w:rPr>
              <w:t xml:space="preserve"> Challenges’ – NY Times, 2012.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7A4D912B" w14:textId="77777777" w:rsidR="009179B7" w:rsidRPr="00B453B3" w:rsidRDefault="009179B7" w:rsidP="009179B7">
            <w:pPr>
              <w:rPr>
                <w:rFonts w:ascii="Arial" w:eastAsia="Times New Roman" w:hAnsi="Arial" w:cs="Arial"/>
                <w:sz w:val="20"/>
                <w:szCs w:val="20"/>
              </w:rPr>
            </w:pPr>
            <w:r>
              <w:rPr>
                <w:rFonts w:ascii="Arial" w:eastAsia="Times New Roman" w:hAnsi="Arial" w:cs="Arial"/>
                <w:sz w:val="20"/>
                <w:szCs w:val="20"/>
              </w:rPr>
              <w:t>Sam Borden</w:t>
            </w:r>
          </w:p>
        </w:tc>
        <w:tc>
          <w:tcPr>
            <w:tcW w:w="1710" w:type="dxa"/>
            <w:tcBorders>
              <w:top w:val="single" w:sz="6" w:space="0" w:color="CCCCCC"/>
              <w:left w:val="single" w:sz="6" w:space="0" w:color="CCCCCC"/>
              <w:bottom w:val="single" w:sz="6" w:space="0" w:color="CCCCCC"/>
              <w:right w:val="single" w:sz="6" w:space="0" w:color="CCCCCC"/>
            </w:tcBorders>
            <w:shd w:val="clear" w:color="auto" w:fill="FFFFFF"/>
          </w:tcPr>
          <w:p w14:paraId="0CC72353" w14:textId="77777777" w:rsidR="009179B7" w:rsidRPr="00B453B3" w:rsidRDefault="009179B7" w:rsidP="009179B7">
            <w:pPr>
              <w:rPr>
                <w:rFonts w:ascii="Arial" w:eastAsia="Times New Roman" w:hAnsi="Arial" w:cs="Arial"/>
                <w:sz w:val="20"/>
                <w:szCs w:val="20"/>
              </w:rPr>
            </w:pPr>
            <w:r>
              <w:rPr>
                <w:rFonts w:ascii="Arial" w:eastAsia="Times New Roman" w:hAnsi="Arial" w:cs="Arial"/>
                <w:sz w:val="20"/>
                <w:szCs w:val="20"/>
              </w:rPr>
              <w:t>External Resource</w:t>
            </w:r>
          </w:p>
        </w:tc>
        <w:tc>
          <w:tcPr>
            <w:tcW w:w="1935" w:type="dxa"/>
            <w:tcBorders>
              <w:top w:val="single" w:sz="6" w:space="0" w:color="CCCCCC"/>
              <w:left w:val="single" w:sz="6" w:space="0" w:color="CCCCCC"/>
              <w:bottom w:val="single" w:sz="6" w:space="0" w:color="CCCCCC"/>
              <w:right w:val="single" w:sz="6" w:space="0" w:color="CCCCCC"/>
            </w:tcBorders>
            <w:shd w:val="clear" w:color="auto" w:fill="FFFFFF"/>
          </w:tcPr>
          <w:p w14:paraId="4EA2CEA4" w14:textId="77777777" w:rsidR="009179B7" w:rsidRPr="00B453B3" w:rsidRDefault="009179B7" w:rsidP="009179B7">
            <w:pPr>
              <w:rPr>
                <w:rFonts w:ascii="Arial" w:eastAsia="Times New Roman" w:hAnsi="Arial" w:cs="Arial"/>
                <w:sz w:val="20"/>
                <w:szCs w:val="20"/>
              </w:rPr>
            </w:pPr>
            <w:r w:rsidRPr="00B453B3">
              <w:rPr>
                <w:rFonts w:ascii="Arial" w:eastAsia="Times New Roman" w:hAnsi="Arial" w:cs="Arial"/>
                <w:sz w:val="20"/>
                <w:szCs w:val="20"/>
              </w:rPr>
              <w:t>http://www.nytimes.com/2012/08/01/sports/olympics/ramadan-poses-challenges-for-muslims-at-the-olympics.html</w:t>
            </w:r>
            <w:proofErr w:type="gramStart"/>
            <w:r w:rsidRPr="00B453B3">
              <w:rPr>
                <w:rFonts w:ascii="Arial" w:eastAsia="Times New Roman" w:hAnsi="Arial" w:cs="Arial"/>
                <w:sz w:val="20"/>
                <w:szCs w:val="20"/>
              </w:rPr>
              <w:t>?_</w:t>
            </w:r>
            <w:proofErr w:type="gramEnd"/>
            <w:r w:rsidRPr="00B453B3">
              <w:rPr>
                <w:rFonts w:ascii="Arial" w:eastAsia="Times New Roman" w:hAnsi="Arial" w:cs="Arial"/>
                <w:sz w:val="20"/>
                <w:szCs w:val="20"/>
              </w:rPr>
              <w:t>r=0</w:t>
            </w:r>
          </w:p>
        </w:tc>
      </w:tr>
    </w:tbl>
    <w:p w14:paraId="06A6727B" w14:textId="77777777" w:rsidR="009179B7" w:rsidRDefault="009179B7" w:rsidP="00CA7441">
      <w:pPr>
        <w:pStyle w:val="NormalWeb"/>
        <w:spacing w:before="0" w:beforeAutospacing="0" w:after="0" w:afterAutospacing="0"/>
        <w:rPr>
          <w:rFonts w:ascii="Calibri" w:hAnsi="Calibri"/>
          <w:b/>
          <w:bCs/>
        </w:rPr>
      </w:pPr>
    </w:p>
    <w:p w14:paraId="18DBCEC4" w14:textId="77777777" w:rsidR="00CA7441" w:rsidRDefault="00CA7441" w:rsidP="00CA7441">
      <w:pPr>
        <w:pStyle w:val="NormalWeb"/>
        <w:spacing w:before="0" w:beforeAutospacing="0" w:after="0" w:afterAutospacing="0"/>
        <w:rPr>
          <w:rFonts w:ascii="Calibri" w:hAnsi="Calibri"/>
          <w:sz w:val="22"/>
          <w:szCs w:val="22"/>
        </w:rPr>
      </w:pPr>
      <w:r>
        <w:rPr>
          <w:rFonts w:ascii="Calibri" w:hAnsi="Calibri"/>
          <w:b/>
          <w:bCs/>
        </w:rPr>
        <w:t>2. Narrative</w:t>
      </w:r>
    </w:p>
    <w:p w14:paraId="0BD9BB13" w14:textId="73608E74" w:rsidR="00CA7441" w:rsidRDefault="00CA7441" w:rsidP="000C1F6B">
      <w:pPr>
        <w:pStyle w:val="qowt-stl-listparagraph"/>
        <w:spacing w:before="0" w:beforeAutospacing="0" w:after="0" w:afterAutospacing="0"/>
        <w:ind w:left="360"/>
        <w:rPr>
          <w:rFonts w:ascii="Calibri" w:hAnsi="Calibri"/>
        </w:rPr>
      </w:pPr>
    </w:p>
    <w:p w14:paraId="4A4F2E8A" w14:textId="5AB93E32" w:rsidR="000C1F6B" w:rsidRPr="00035D04" w:rsidRDefault="000C1F6B" w:rsidP="000C1F6B">
      <w:pPr>
        <w:pStyle w:val="qowt-stl-listparagraph"/>
        <w:spacing w:before="0" w:beforeAutospacing="0" w:after="0" w:afterAutospacing="0"/>
        <w:ind w:left="360"/>
        <w:rPr>
          <w:rFonts w:asciiTheme="minorHAnsi" w:hAnsiTheme="minorHAnsi"/>
          <w:u w:val="single"/>
        </w:rPr>
      </w:pPr>
      <w:r w:rsidRPr="00035D04">
        <w:rPr>
          <w:rFonts w:asciiTheme="minorHAnsi" w:hAnsiTheme="minorHAnsi"/>
          <w:u w:val="single"/>
        </w:rPr>
        <w:t>Section A</w:t>
      </w:r>
    </w:p>
    <w:p w14:paraId="5A45FEDC" w14:textId="77777777" w:rsidR="000C1F6B" w:rsidRPr="00035D04" w:rsidRDefault="000C1F6B" w:rsidP="000C1F6B">
      <w:pPr>
        <w:pStyle w:val="qowt-stl-listparagraph"/>
        <w:spacing w:before="0" w:beforeAutospacing="0" w:after="0" w:afterAutospacing="0"/>
        <w:ind w:left="360"/>
        <w:rPr>
          <w:rFonts w:asciiTheme="minorHAnsi" w:hAnsiTheme="minorHAnsi"/>
        </w:rPr>
      </w:pPr>
    </w:p>
    <w:p w14:paraId="53AE05D4" w14:textId="2ED4EC37" w:rsidR="00FC20E4" w:rsidRPr="00035D04" w:rsidRDefault="00FC20E4" w:rsidP="000C1F6B">
      <w:pPr>
        <w:pStyle w:val="qowt-li-50"/>
        <w:spacing w:before="0" w:beforeAutospacing="0" w:after="0" w:afterAutospacing="0"/>
        <w:ind w:left="360"/>
        <w:rPr>
          <w:rFonts w:asciiTheme="minorHAnsi" w:hAnsiTheme="minorHAnsi"/>
        </w:rPr>
      </w:pPr>
      <w:r w:rsidRPr="00035D04">
        <w:rPr>
          <w:rFonts w:asciiTheme="minorHAnsi" w:hAnsiTheme="minorHAnsi"/>
        </w:rPr>
        <w:t xml:space="preserve">I </w:t>
      </w:r>
      <w:r w:rsidR="001C750F" w:rsidRPr="00035D04">
        <w:rPr>
          <w:rFonts w:asciiTheme="minorHAnsi" w:hAnsiTheme="minorHAnsi"/>
        </w:rPr>
        <w:t xml:space="preserve">first </w:t>
      </w:r>
      <w:r w:rsidRPr="00035D04">
        <w:rPr>
          <w:rFonts w:asciiTheme="minorHAnsi" w:hAnsiTheme="minorHAnsi"/>
        </w:rPr>
        <w:t xml:space="preserve">heard about the Affordable Learning Georgia Textbook Transformation grants last summer, </w:t>
      </w:r>
      <w:r w:rsidR="001C750F" w:rsidRPr="00035D04">
        <w:rPr>
          <w:rFonts w:asciiTheme="minorHAnsi" w:hAnsiTheme="minorHAnsi"/>
        </w:rPr>
        <w:t xml:space="preserve">and </w:t>
      </w:r>
      <w:r w:rsidRPr="00035D04">
        <w:rPr>
          <w:rFonts w:asciiTheme="minorHAnsi" w:hAnsiTheme="minorHAnsi"/>
        </w:rPr>
        <w:t xml:space="preserve">it was </w:t>
      </w:r>
      <w:r w:rsidR="001C750F" w:rsidRPr="00035D04">
        <w:rPr>
          <w:rFonts w:asciiTheme="minorHAnsi" w:hAnsiTheme="minorHAnsi"/>
        </w:rPr>
        <w:t xml:space="preserve">definitely </w:t>
      </w:r>
      <w:r w:rsidRPr="00035D04">
        <w:rPr>
          <w:rFonts w:asciiTheme="minorHAnsi" w:hAnsiTheme="minorHAnsi"/>
        </w:rPr>
        <w:t>very intriguing to me.  I have always been in</w:t>
      </w:r>
      <w:r w:rsidR="009179B7" w:rsidRPr="00035D04">
        <w:rPr>
          <w:rFonts w:asciiTheme="minorHAnsi" w:hAnsiTheme="minorHAnsi"/>
        </w:rPr>
        <w:t>terested in improving EDUC 2120, and I loved the idea of being able to customize the readings in my course better to the topics.  There are many different textbooks out there for classes similar to EDUC 2120, however in my experience, I have never found one I was completely satisfied with.  Thus, I was left asking my students to spend over $100 for a book that was just okay in terms of content, with some chapters we would skip over entirely.</w:t>
      </w:r>
    </w:p>
    <w:p w14:paraId="21825E6D" w14:textId="77777777" w:rsidR="009179B7" w:rsidRPr="00035D04" w:rsidRDefault="009179B7" w:rsidP="009179B7">
      <w:pPr>
        <w:pStyle w:val="qowt-li-50"/>
        <w:spacing w:before="0" w:beforeAutospacing="0" w:after="0" w:afterAutospacing="0"/>
        <w:ind w:left="360"/>
        <w:rPr>
          <w:rFonts w:asciiTheme="minorHAnsi" w:hAnsiTheme="minorHAnsi"/>
        </w:rPr>
      </w:pPr>
    </w:p>
    <w:p w14:paraId="66BAD040" w14:textId="7663DA2D" w:rsidR="005E5CBA" w:rsidRPr="00035D04" w:rsidRDefault="009179B7" w:rsidP="005E5CBA">
      <w:pPr>
        <w:pStyle w:val="qowt-li-50"/>
        <w:spacing w:before="0" w:beforeAutospacing="0" w:after="0" w:afterAutospacing="0"/>
        <w:ind w:left="360"/>
        <w:rPr>
          <w:rFonts w:asciiTheme="minorHAnsi" w:hAnsiTheme="minorHAnsi"/>
        </w:rPr>
      </w:pPr>
      <w:r w:rsidRPr="00035D04">
        <w:rPr>
          <w:rFonts w:asciiTheme="minorHAnsi" w:hAnsiTheme="minorHAnsi"/>
        </w:rPr>
        <w:t xml:space="preserve">As I submitted my original proposal, the no-cost-to-student option was most interesting to me.  I anticipated being able to locate many open resources, particularly in the field of education, and I was excited to </w:t>
      </w:r>
      <w:r w:rsidR="001C750F" w:rsidRPr="00035D04">
        <w:rPr>
          <w:rFonts w:asciiTheme="minorHAnsi" w:hAnsiTheme="minorHAnsi"/>
        </w:rPr>
        <w:t xml:space="preserve">compile those into something like a digital course pack of readings.  </w:t>
      </w:r>
      <w:r w:rsidR="00C37155" w:rsidRPr="00035D04">
        <w:rPr>
          <w:rFonts w:asciiTheme="minorHAnsi" w:hAnsiTheme="minorHAnsi"/>
        </w:rPr>
        <w:t xml:space="preserve">At that point, we (Amy Ingalls and I) were uncertain as to whether we would use a </w:t>
      </w:r>
      <w:proofErr w:type="spellStart"/>
      <w:r w:rsidR="00C37155" w:rsidRPr="00035D04">
        <w:rPr>
          <w:rFonts w:asciiTheme="minorHAnsi" w:hAnsiTheme="minorHAnsi"/>
        </w:rPr>
        <w:t>LibGuide</w:t>
      </w:r>
      <w:proofErr w:type="spellEnd"/>
      <w:r w:rsidR="00C37155" w:rsidRPr="00035D04">
        <w:rPr>
          <w:rFonts w:asciiTheme="minorHAnsi" w:hAnsiTheme="minorHAnsi"/>
        </w:rPr>
        <w:t xml:space="preserve"> or digital course pack format.  However, as we began working on compiling the different readings, and reviewing different OER repositories, like </w:t>
      </w:r>
      <w:proofErr w:type="spellStart"/>
      <w:r w:rsidR="00C37155" w:rsidRPr="00035D04">
        <w:rPr>
          <w:rFonts w:asciiTheme="minorHAnsi" w:hAnsiTheme="minorHAnsi"/>
        </w:rPr>
        <w:t>OpenStax</w:t>
      </w:r>
      <w:proofErr w:type="spellEnd"/>
      <w:r w:rsidR="00C37155" w:rsidRPr="00035D04">
        <w:rPr>
          <w:rFonts w:asciiTheme="minorHAnsi" w:hAnsiTheme="minorHAnsi"/>
        </w:rPr>
        <w:t xml:space="preserve"> and Merlot, we found there were very limited resources available for education courses, and even fewer resources that directly related to the course content for EDUC 2120.  This was ultimately, the biggest challenge we faced implementing this project; we could create something that would be no-cost-to-students, but we could not create something that would be entirely open.</w:t>
      </w:r>
      <w:r w:rsidR="005E5CBA" w:rsidRPr="00035D04">
        <w:rPr>
          <w:rFonts w:asciiTheme="minorHAnsi" w:hAnsiTheme="minorHAnsi"/>
        </w:rPr>
        <w:t xml:space="preserve"> Given this limitation, however, I think we did a strong job compiling a diverse set of readings for students in </w:t>
      </w:r>
      <w:r w:rsidR="000C1F6B" w:rsidRPr="00035D04">
        <w:rPr>
          <w:rFonts w:asciiTheme="minorHAnsi" w:hAnsiTheme="minorHAnsi"/>
        </w:rPr>
        <w:t>EDUC 2120 that met both the instructional goals and Area F competencies for the course.</w:t>
      </w:r>
      <w:r w:rsidR="005E5CBA" w:rsidRPr="00035D04">
        <w:rPr>
          <w:rFonts w:asciiTheme="minorHAnsi" w:hAnsiTheme="minorHAnsi"/>
        </w:rPr>
        <w:t xml:space="preserve">  </w:t>
      </w:r>
    </w:p>
    <w:p w14:paraId="0D1AAB6F" w14:textId="77777777" w:rsidR="005E5CBA" w:rsidRPr="00035D04" w:rsidRDefault="005E5CBA" w:rsidP="005E5CBA">
      <w:pPr>
        <w:pStyle w:val="qowt-li-50"/>
        <w:spacing w:before="0" w:beforeAutospacing="0" w:after="0" w:afterAutospacing="0"/>
        <w:ind w:left="360"/>
        <w:rPr>
          <w:rFonts w:asciiTheme="minorHAnsi" w:hAnsiTheme="minorHAnsi"/>
        </w:rPr>
      </w:pPr>
    </w:p>
    <w:p w14:paraId="2AF5B0CF" w14:textId="40F65CDD" w:rsidR="005E5CBA" w:rsidRPr="00035D04" w:rsidRDefault="005E5CBA" w:rsidP="005E5CBA">
      <w:pPr>
        <w:pStyle w:val="qowt-li-50"/>
        <w:spacing w:before="0" w:beforeAutospacing="0" w:after="0" w:afterAutospacing="0"/>
        <w:ind w:left="360"/>
        <w:rPr>
          <w:rFonts w:asciiTheme="minorHAnsi" w:hAnsiTheme="minorHAnsi"/>
        </w:rPr>
      </w:pPr>
      <w:r w:rsidRPr="00035D04">
        <w:rPr>
          <w:rFonts w:asciiTheme="minorHAnsi" w:hAnsiTheme="minorHAnsi"/>
        </w:rPr>
        <w:lastRenderedPageBreak/>
        <w:t>One of the major instructional outcomes of this project was the freedom that comes with eliminating a textbook.  Suddenly, as I reviewed my notes for my classes, I realized there were things I was covering, not because they are relevant to the field, but simply because there was a section in the previous textbook about it.  For example, we discuss class and socioeconomic status at length in this course.  It is important for students to understand the components that make up socioeconomic status to provide context when we discuss the complications that can arise in education.  One of the most confusing components for students is the idea of wealth, that assets minus liabilities equal net worth, aka wealth.  Wealth eventually contributes to power (another component), and impacts policy and social issues we see in the United States.  By eliminating the textbook and condensing topics, I was able to spend a full week of the course exploring this concept with my students, including helping them to create a budget based on their first year teaching salary.  This was not something I had ever included prior to this project; yet, several students mentioned this activity on their final course evaluations as being one of the best experiences they had in the course.</w:t>
      </w:r>
    </w:p>
    <w:p w14:paraId="3997DCDC" w14:textId="77777777" w:rsidR="00C37155" w:rsidRPr="00035D04" w:rsidRDefault="00C37155" w:rsidP="009179B7">
      <w:pPr>
        <w:pStyle w:val="qowt-li-50"/>
        <w:spacing w:before="0" w:beforeAutospacing="0" w:after="0" w:afterAutospacing="0"/>
        <w:ind w:left="360"/>
        <w:rPr>
          <w:rFonts w:asciiTheme="minorHAnsi" w:hAnsiTheme="minorHAnsi"/>
        </w:rPr>
      </w:pPr>
    </w:p>
    <w:p w14:paraId="17442811" w14:textId="1E55EA13" w:rsidR="009179B7" w:rsidRPr="00035D04" w:rsidRDefault="005E5CBA" w:rsidP="000C1F6B">
      <w:pPr>
        <w:pStyle w:val="qowt-li-50"/>
        <w:spacing w:before="0" w:beforeAutospacing="0" w:after="0" w:afterAutospacing="0"/>
        <w:ind w:left="360"/>
        <w:rPr>
          <w:rFonts w:asciiTheme="minorHAnsi" w:hAnsiTheme="minorHAnsi"/>
        </w:rPr>
      </w:pPr>
      <w:r w:rsidRPr="00035D04">
        <w:rPr>
          <w:rFonts w:asciiTheme="minorHAnsi" w:hAnsiTheme="minorHAnsi"/>
        </w:rPr>
        <w:t xml:space="preserve">Additionally, I found that during the implementation of this project in Spring 2015, my students were more likely to have read the readings for class than they have been in prior semesters.  When I asked them about this, and based on their feedback outlined in the data included in section four, they mentioned how having the list of compiled readings was helpful in two ways.  One, they knew the articles must be important if I had selected to include them, and two, they were more specifically relevant to the course and our classroom activities than the more general content of a traditional textbook. Further, because more of the students were actually reading the articles, book chapters, etc., </w:t>
      </w:r>
      <w:r w:rsidR="000C1F6B" w:rsidRPr="00035D04">
        <w:rPr>
          <w:rFonts w:asciiTheme="minorHAnsi" w:hAnsiTheme="minorHAnsi"/>
        </w:rPr>
        <w:t>our class discussions were more meaningful and well informed.</w:t>
      </w:r>
    </w:p>
    <w:p w14:paraId="56227087" w14:textId="77777777" w:rsidR="00300112" w:rsidRPr="00035D04" w:rsidRDefault="00300112" w:rsidP="00300112">
      <w:pPr>
        <w:pStyle w:val="qowt-li-50"/>
        <w:spacing w:before="0" w:beforeAutospacing="0" w:after="0" w:afterAutospacing="0"/>
        <w:rPr>
          <w:rFonts w:asciiTheme="minorHAnsi" w:hAnsiTheme="minorHAnsi"/>
        </w:rPr>
      </w:pPr>
    </w:p>
    <w:p w14:paraId="0243D512" w14:textId="754B64BA" w:rsidR="00CA7441" w:rsidRPr="00035D04" w:rsidRDefault="00342309" w:rsidP="00CA7441">
      <w:pPr>
        <w:pStyle w:val="NormalWeb"/>
        <w:spacing w:before="0" w:beforeAutospacing="0" w:after="0" w:afterAutospacing="0"/>
        <w:ind w:left="360"/>
        <w:rPr>
          <w:rFonts w:asciiTheme="minorHAnsi" w:hAnsiTheme="minorHAnsi"/>
          <w:u w:val="single"/>
        </w:rPr>
      </w:pPr>
      <w:r w:rsidRPr="00035D04">
        <w:rPr>
          <w:rFonts w:asciiTheme="minorHAnsi" w:hAnsiTheme="minorHAnsi"/>
          <w:u w:val="single"/>
        </w:rPr>
        <w:t>Section B</w:t>
      </w:r>
    </w:p>
    <w:p w14:paraId="61019C17" w14:textId="77777777" w:rsidR="000C1F6B" w:rsidRPr="00035D04" w:rsidRDefault="000C1F6B" w:rsidP="00CA7441">
      <w:pPr>
        <w:pStyle w:val="NormalWeb"/>
        <w:spacing w:before="0" w:beforeAutospacing="0" w:after="0" w:afterAutospacing="0"/>
        <w:ind w:left="360"/>
        <w:rPr>
          <w:rFonts w:asciiTheme="minorHAnsi" w:hAnsiTheme="minorHAnsi"/>
        </w:rPr>
      </w:pPr>
    </w:p>
    <w:p w14:paraId="15CDF93F" w14:textId="33F1209A" w:rsidR="000C1F6B" w:rsidRPr="00035D04" w:rsidRDefault="000C1F6B" w:rsidP="00CA7441">
      <w:pPr>
        <w:pStyle w:val="NormalWeb"/>
        <w:spacing w:before="0" w:beforeAutospacing="0" w:after="0" w:afterAutospacing="0"/>
        <w:ind w:left="360"/>
        <w:rPr>
          <w:rFonts w:asciiTheme="minorHAnsi" w:hAnsiTheme="minorHAnsi"/>
        </w:rPr>
      </w:pPr>
      <w:r w:rsidRPr="00035D04">
        <w:rPr>
          <w:rFonts w:asciiTheme="minorHAnsi" w:hAnsiTheme="minorHAnsi"/>
        </w:rPr>
        <w:tab/>
      </w:r>
      <w:r w:rsidRPr="00035D04">
        <w:rPr>
          <w:rFonts w:asciiTheme="minorHAnsi" w:hAnsiTheme="minorHAnsi"/>
          <w:b/>
        </w:rPr>
        <w:t>Instructor Perspective</w:t>
      </w:r>
    </w:p>
    <w:p w14:paraId="447C876A" w14:textId="7863D4AE" w:rsidR="000C1F6B" w:rsidRPr="00035D04" w:rsidRDefault="000C1F6B" w:rsidP="00CA7441">
      <w:pPr>
        <w:pStyle w:val="NormalWeb"/>
        <w:spacing w:before="0" w:beforeAutospacing="0" w:after="0" w:afterAutospacing="0"/>
        <w:ind w:left="360"/>
        <w:rPr>
          <w:rFonts w:asciiTheme="minorHAnsi" w:hAnsiTheme="minorHAnsi"/>
        </w:rPr>
      </w:pPr>
      <w:r w:rsidRPr="00035D04">
        <w:rPr>
          <w:rFonts w:asciiTheme="minorHAnsi" w:hAnsiTheme="minorHAnsi"/>
        </w:rPr>
        <w:tab/>
      </w:r>
    </w:p>
    <w:p w14:paraId="28E31BFC" w14:textId="06B963C0" w:rsidR="000C1F6B" w:rsidRPr="00035D04" w:rsidRDefault="000C1F6B" w:rsidP="000C1F6B">
      <w:pPr>
        <w:pStyle w:val="NormalWeb"/>
        <w:spacing w:before="0" w:beforeAutospacing="0" w:after="0" w:afterAutospacing="0"/>
        <w:ind w:left="720"/>
        <w:rPr>
          <w:rFonts w:asciiTheme="minorHAnsi" w:hAnsiTheme="minorHAnsi"/>
        </w:rPr>
      </w:pPr>
      <w:r w:rsidRPr="00035D04">
        <w:rPr>
          <w:rFonts w:asciiTheme="minorHAnsi" w:hAnsiTheme="minorHAnsi"/>
        </w:rPr>
        <w:t>The biggest lesson for me over the course of the project was the incredible control I have over my courses when the textbook is eliminated.  I did not realize prior to this project the amount of power I had to really set the tone for the course and the relevancy for the readings.  As I began teaching this course as a doctoral student six years ago, I simply walked into the format the professor before me used.  However, over time, I have certainly gained my own expertise over the content and the most effective ways to teach it, but I had never considered how important the reading materials were to the class.  There was so much freedom in eliminating the textbook that I was able to actually select new and recent pieces that directly related to the topic we were discussing.  As you will see in the data analysis below, this was something the students found particularly powerful as well.</w:t>
      </w:r>
    </w:p>
    <w:p w14:paraId="5A870369" w14:textId="77777777" w:rsidR="00342309" w:rsidRPr="00035D04" w:rsidRDefault="00342309" w:rsidP="000C1F6B">
      <w:pPr>
        <w:pStyle w:val="NormalWeb"/>
        <w:spacing w:before="0" w:beforeAutospacing="0" w:after="0" w:afterAutospacing="0"/>
        <w:ind w:left="720"/>
        <w:rPr>
          <w:rFonts w:asciiTheme="minorHAnsi" w:hAnsiTheme="minorHAnsi"/>
        </w:rPr>
      </w:pPr>
    </w:p>
    <w:p w14:paraId="089AAFC2" w14:textId="28667292" w:rsidR="00342309" w:rsidRPr="00035D04" w:rsidRDefault="00342309" w:rsidP="000C1F6B">
      <w:pPr>
        <w:pStyle w:val="NormalWeb"/>
        <w:spacing w:before="0" w:beforeAutospacing="0" w:after="0" w:afterAutospacing="0"/>
        <w:ind w:left="720"/>
        <w:rPr>
          <w:rFonts w:asciiTheme="minorHAnsi" w:hAnsiTheme="minorHAnsi"/>
        </w:rPr>
      </w:pPr>
      <w:r w:rsidRPr="00035D04">
        <w:rPr>
          <w:rFonts w:asciiTheme="minorHAnsi" w:hAnsiTheme="minorHAnsi"/>
        </w:rPr>
        <w:t xml:space="preserve">Further, because during this first project we found so few open resources for education, it inspired us to pursue and additional ALG Round 2 Transformation-at-Scale grant to </w:t>
      </w:r>
      <w:r w:rsidRPr="00035D04">
        <w:rPr>
          <w:rFonts w:asciiTheme="minorHAnsi" w:hAnsiTheme="minorHAnsi"/>
        </w:rPr>
        <w:lastRenderedPageBreak/>
        <w:t>actually take the next step and create resources for foundations of education courses that would truly be open for our students and students around the state.  I think additional time to implement the project would have been helpful, particularly in compiling resources and designing the best way to measure what we were doing.  The limited time frame made us rush a few decisions that could have been better flushed out with a little more time.  Overall though, I am incredibly satisfied with the outcomes of this project.</w:t>
      </w:r>
    </w:p>
    <w:p w14:paraId="71A6D5D6" w14:textId="77777777" w:rsidR="00342309" w:rsidRPr="00035D04" w:rsidRDefault="00342309" w:rsidP="000C1F6B">
      <w:pPr>
        <w:pStyle w:val="NormalWeb"/>
        <w:spacing w:before="0" w:beforeAutospacing="0" w:after="0" w:afterAutospacing="0"/>
        <w:ind w:left="720"/>
        <w:rPr>
          <w:rFonts w:asciiTheme="minorHAnsi" w:hAnsiTheme="minorHAnsi"/>
        </w:rPr>
      </w:pPr>
    </w:p>
    <w:p w14:paraId="0655252C" w14:textId="1AF04754" w:rsidR="00342309" w:rsidRPr="00035D04" w:rsidRDefault="00342309" w:rsidP="00342309">
      <w:pPr>
        <w:pStyle w:val="NormalWeb"/>
        <w:spacing w:before="0" w:beforeAutospacing="0" w:after="0" w:afterAutospacing="0"/>
        <w:ind w:left="720"/>
        <w:rPr>
          <w:rFonts w:asciiTheme="minorHAnsi" w:hAnsiTheme="minorHAnsi"/>
        </w:rPr>
      </w:pPr>
      <w:r w:rsidRPr="00035D04">
        <w:rPr>
          <w:rFonts w:asciiTheme="minorHAnsi" w:hAnsiTheme="minorHAnsi"/>
          <w:b/>
        </w:rPr>
        <w:t>Instructional Designer Perspective</w:t>
      </w:r>
    </w:p>
    <w:p w14:paraId="0EED17B1" w14:textId="77777777" w:rsidR="00342309" w:rsidRPr="00035D04" w:rsidRDefault="00342309" w:rsidP="00342309">
      <w:pPr>
        <w:pStyle w:val="NormalWeb"/>
        <w:spacing w:before="0" w:beforeAutospacing="0" w:after="0" w:afterAutospacing="0"/>
        <w:ind w:left="720"/>
        <w:rPr>
          <w:rFonts w:asciiTheme="minorHAnsi" w:hAnsiTheme="minorHAnsi"/>
        </w:rPr>
      </w:pPr>
    </w:p>
    <w:p w14:paraId="78119978" w14:textId="77777777" w:rsidR="00342309" w:rsidRPr="00035D04" w:rsidRDefault="00342309" w:rsidP="00035D04">
      <w:pPr>
        <w:widowControl w:val="0"/>
        <w:autoSpaceDE w:val="0"/>
        <w:autoSpaceDN w:val="0"/>
        <w:adjustRightInd w:val="0"/>
        <w:spacing w:line="240" w:lineRule="auto"/>
        <w:ind w:left="720"/>
        <w:rPr>
          <w:rFonts w:cs="Calibri"/>
          <w:sz w:val="24"/>
          <w:szCs w:val="24"/>
        </w:rPr>
      </w:pPr>
      <w:r w:rsidRPr="00035D04">
        <w:rPr>
          <w:rFonts w:cs="Calibri"/>
          <w:sz w:val="24"/>
          <w:szCs w:val="24"/>
        </w:rPr>
        <w:t xml:space="preserve">As the instructional designer, I encountered two major challenges to accomplishing the task of providing no-cost to student materials for EDUC 2120. The first challenge was technological. We started off planning on using a </w:t>
      </w:r>
      <w:proofErr w:type="spellStart"/>
      <w:r w:rsidRPr="00035D04">
        <w:rPr>
          <w:rFonts w:cs="Calibri"/>
          <w:sz w:val="24"/>
          <w:szCs w:val="24"/>
        </w:rPr>
        <w:t>Libguide</w:t>
      </w:r>
      <w:proofErr w:type="spellEnd"/>
      <w:r w:rsidRPr="00035D04">
        <w:rPr>
          <w:rFonts w:cs="Calibri"/>
          <w:sz w:val="24"/>
          <w:szCs w:val="24"/>
        </w:rPr>
        <w:t xml:space="preserve"> to host the content. However, using a </w:t>
      </w:r>
      <w:proofErr w:type="spellStart"/>
      <w:r w:rsidRPr="00035D04">
        <w:rPr>
          <w:rFonts w:cs="Calibri"/>
          <w:sz w:val="24"/>
          <w:szCs w:val="24"/>
        </w:rPr>
        <w:t>LibGuide</w:t>
      </w:r>
      <w:proofErr w:type="spellEnd"/>
      <w:r w:rsidRPr="00035D04">
        <w:rPr>
          <w:rFonts w:cs="Calibri"/>
          <w:sz w:val="24"/>
          <w:szCs w:val="24"/>
        </w:rPr>
        <w:t xml:space="preserve"> at our institution would mean that we would have to go through a librarian to add or edit content as they were not able provide us with </w:t>
      </w:r>
      <w:proofErr w:type="spellStart"/>
      <w:r w:rsidRPr="00035D04">
        <w:rPr>
          <w:rFonts w:cs="Calibri"/>
          <w:sz w:val="24"/>
          <w:szCs w:val="24"/>
        </w:rPr>
        <w:t>LibGuide</w:t>
      </w:r>
      <w:proofErr w:type="spellEnd"/>
      <w:r w:rsidRPr="00035D04">
        <w:rPr>
          <w:rFonts w:cs="Calibri"/>
          <w:sz w:val="24"/>
          <w:szCs w:val="24"/>
        </w:rPr>
        <w:t xml:space="preserve"> accounts. Knowing that we would need to have more access to the content than this would allow, we decided to look for another platform. </w:t>
      </w:r>
    </w:p>
    <w:p w14:paraId="1D42850B" w14:textId="77777777" w:rsidR="00342309" w:rsidRPr="00035D04" w:rsidRDefault="00342309" w:rsidP="00035D04">
      <w:pPr>
        <w:widowControl w:val="0"/>
        <w:autoSpaceDE w:val="0"/>
        <w:autoSpaceDN w:val="0"/>
        <w:adjustRightInd w:val="0"/>
        <w:spacing w:line="240" w:lineRule="auto"/>
        <w:ind w:left="720"/>
        <w:rPr>
          <w:rFonts w:cs="Calibri"/>
          <w:sz w:val="24"/>
          <w:szCs w:val="24"/>
        </w:rPr>
      </w:pPr>
      <w:r w:rsidRPr="00035D04">
        <w:rPr>
          <w:rFonts w:cs="Calibri"/>
          <w:sz w:val="24"/>
          <w:szCs w:val="24"/>
        </w:rPr>
        <w:t xml:space="preserve">Fortunately, our institution offers WordPress sites to faculty, so we requested one for this project. The WordPress site allows us complete access to edit and maintain our content as needed. As the instructional designer, I wish I could edit the structure of the template to have more control over categorizing and presetting the information, but the temple we are using is WCAG compliant so what is lacking in customization is balanced out with accessibility. </w:t>
      </w:r>
    </w:p>
    <w:p w14:paraId="38B2A14A" w14:textId="4930C3F5" w:rsidR="00342309" w:rsidRPr="00035D04" w:rsidRDefault="00342309" w:rsidP="00035D04">
      <w:pPr>
        <w:widowControl w:val="0"/>
        <w:autoSpaceDE w:val="0"/>
        <w:autoSpaceDN w:val="0"/>
        <w:adjustRightInd w:val="0"/>
        <w:spacing w:line="240" w:lineRule="auto"/>
        <w:ind w:left="720"/>
        <w:rPr>
          <w:rFonts w:cs="Calibri"/>
          <w:sz w:val="24"/>
          <w:szCs w:val="24"/>
        </w:rPr>
      </w:pPr>
      <w:r w:rsidRPr="00035D04">
        <w:rPr>
          <w:rFonts w:cs="Calibri"/>
          <w:sz w:val="24"/>
          <w:szCs w:val="24"/>
        </w:rPr>
        <w:t xml:space="preserve">The second challenge was locating open resources that were high quality and met the learning objectives. After meeting with our ALG librarian, Nadine Cohen, we determined that a better course of action would be to locate library resources for this current iteration of the course and plan for creating the open resources we could not locate in a future project. A particularly frustrating part of this process was locating USG library resources. Many of the identified articles are available through UGA databases, but not available to the whole USG system. We finally decided to use these resources as they were most appropriate for the learning objectives and in order to offer the content to everyone we would provide the citation information so that instructors at other USG institutions could work with their libraries to gain access to the materials. This was not our original intent with this project and it was disappointing. However, it was a good first step and helped in identifying the material that needs to be created as open educational resources. </w:t>
      </w:r>
    </w:p>
    <w:p w14:paraId="1410055B" w14:textId="6EDA7973" w:rsidR="00035D04" w:rsidRDefault="00035D04">
      <w:pPr>
        <w:rPr>
          <w:rFonts w:eastAsia="Times New Roman" w:cs="Times New Roman"/>
          <w:sz w:val="24"/>
          <w:szCs w:val="24"/>
        </w:rPr>
      </w:pPr>
      <w:r>
        <w:br w:type="page"/>
      </w:r>
    </w:p>
    <w:p w14:paraId="4E721CC0" w14:textId="77777777" w:rsidR="00571F03" w:rsidRPr="00035D04" w:rsidRDefault="00571F03" w:rsidP="00CA7441">
      <w:pPr>
        <w:pStyle w:val="NormalWeb"/>
        <w:spacing w:before="0" w:beforeAutospacing="0" w:after="0" w:afterAutospacing="0"/>
        <w:ind w:left="360"/>
        <w:rPr>
          <w:rFonts w:asciiTheme="minorHAnsi" w:hAnsiTheme="minorHAnsi"/>
        </w:rPr>
      </w:pPr>
    </w:p>
    <w:p w14:paraId="7F51C7D6" w14:textId="77777777" w:rsidR="00CA7441" w:rsidRPr="00035D04" w:rsidRDefault="00CA7441" w:rsidP="00CA7441">
      <w:pPr>
        <w:pStyle w:val="NormalWeb"/>
        <w:spacing w:before="0" w:beforeAutospacing="0" w:after="0" w:afterAutospacing="0"/>
        <w:rPr>
          <w:rFonts w:asciiTheme="minorHAnsi" w:hAnsiTheme="minorHAnsi"/>
        </w:rPr>
      </w:pPr>
      <w:r w:rsidRPr="00035D04">
        <w:rPr>
          <w:rFonts w:asciiTheme="minorHAnsi" w:hAnsiTheme="minorHAnsi"/>
          <w:b/>
          <w:bCs/>
        </w:rPr>
        <w:t>3. Quotes</w:t>
      </w:r>
    </w:p>
    <w:p w14:paraId="7F6C54B4" w14:textId="77777777" w:rsidR="00CA7441" w:rsidRPr="00035D04" w:rsidRDefault="00612D0B" w:rsidP="00CA7441">
      <w:pPr>
        <w:pStyle w:val="qowt-li-100"/>
        <w:spacing w:before="0" w:beforeAutospacing="0" w:after="0" w:afterAutospacing="0"/>
        <w:ind w:left="720"/>
        <w:rPr>
          <w:rFonts w:asciiTheme="minorHAnsi" w:hAnsiTheme="minorHAnsi"/>
        </w:rPr>
      </w:pPr>
      <w:r w:rsidRPr="00035D04">
        <w:rPr>
          <w:rFonts w:asciiTheme="minorHAnsi" w:hAnsiTheme="minorHAnsi"/>
        </w:rPr>
        <w:t>“I read everything that was asked and I loved not having to buy a book.  It saved me money that I really needed and I had no issues with the readings online. Great setup!”</w:t>
      </w:r>
    </w:p>
    <w:p w14:paraId="79FA66D0" w14:textId="77777777" w:rsidR="00612D0B" w:rsidRPr="00035D04" w:rsidRDefault="00612D0B" w:rsidP="00CA7441">
      <w:pPr>
        <w:pStyle w:val="qowt-li-100"/>
        <w:spacing w:before="0" w:beforeAutospacing="0" w:after="0" w:afterAutospacing="0"/>
        <w:ind w:left="720"/>
        <w:rPr>
          <w:rFonts w:asciiTheme="minorHAnsi" w:hAnsiTheme="minorHAnsi"/>
        </w:rPr>
      </w:pPr>
    </w:p>
    <w:p w14:paraId="16472949" w14:textId="77777777" w:rsidR="007D5C81" w:rsidRPr="00035D04" w:rsidRDefault="007D5C81" w:rsidP="00300112">
      <w:pPr>
        <w:pStyle w:val="qowt-li-100"/>
        <w:spacing w:before="0" w:beforeAutospacing="0" w:after="0" w:afterAutospacing="0"/>
        <w:ind w:left="720"/>
        <w:rPr>
          <w:rFonts w:asciiTheme="minorHAnsi" w:hAnsiTheme="minorHAnsi"/>
        </w:rPr>
      </w:pPr>
      <w:r w:rsidRPr="00035D04">
        <w:rPr>
          <w:rFonts w:asciiTheme="minorHAnsi" w:hAnsiTheme="minorHAnsi"/>
        </w:rPr>
        <w:t>“I really enjoyed reading the relevant and recent articles compared to a dull textbook. The issues we talked about are ever-changing, so it was nice to see news items and scholarly articles that deal with the issues as they appear currently.”</w:t>
      </w:r>
    </w:p>
    <w:p w14:paraId="43078267" w14:textId="77777777" w:rsidR="00AF5F38" w:rsidRPr="00035D04" w:rsidRDefault="00AF5F38" w:rsidP="00CA7441">
      <w:pPr>
        <w:pStyle w:val="qowt-li-100"/>
        <w:spacing w:before="0" w:beforeAutospacing="0" w:after="0" w:afterAutospacing="0"/>
        <w:ind w:left="720"/>
        <w:rPr>
          <w:rFonts w:asciiTheme="minorHAnsi" w:hAnsiTheme="minorHAnsi"/>
        </w:rPr>
      </w:pPr>
    </w:p>
    <w:p w14:paraId="12227BB1" w14:textId="77777777" w:rsidR="00742E8C" w:rsidRPr="00035D04" w:rsidRDefault="00742E8C" w:rsidP="00CA7441">
      <w:pPr>
        <w:pStyle w:val="qowt-li-100"/>
        <w:spacing w:before="0" w:beforeAutospacing="0" w:after="0" w:afterAutospacing="0"/>
        <w:ind w:left="720"/>
        <w:rPr>
          <w:rFonts w:asciiTheme="minorHAnsi" w:hAnsiTheme="minorHAnsi"/>
        </w:rPr>
      </w:pPr>
      <w:r w:rsidRPr="00035D04">
        <w:rPr>
          <w:rFonts w:asciiTheme="minorHAnsi" w:hAnsiTheme="minorHAnsi"/>
        </w:rPr>
        <w:t>“I loved that there was no textbook in this class.  Of times, I feel like I waste a lot of money on textbooks that I end up not even using. However, the reading materials in this class were all provided online, and I actually looked forward to the readings given each week. Most of the time, I found them quite enjoyable to read, and they were very relevant to the material being learned in class all of the time.”</w:t>
      </w:r>
    </w:p>
    <w:p w14:paraId="4FEFF9B6" w14:textId="77777777" w:rsidR="00742E8C" w:rsidRPr="00035D04" w:rsidRDefault="00742E8C" w:rsidP="00CA7441">
      <w:pPr>
        <w:pStyle w:val="qowt-li-100"/>
        <w:spacing w:before="0" w:beforeAutospacing="0" w:after="0" w:afterAutospacing="0"/>
        <w:ind w:left="720"/>
        <w:rPr>
          <w:rFonts w:asciiTheme="minorHAnsi" w:hAnsiTheme="minorHAnsi"/>
        </w:rPr>
      </w:pPr>
    </w:p>
    <w:p w14:paraId="444B8EBD" w14:textId="77777777" w:rsidR="00742E8C" w:rsidRPr="00035D04" w:rsidRDefault="00742E8C" w:rsidP="00CA7441">
      <w:pPr>
        <w:pStyle w:val="qowt-li-100"/>
        <w:spacing w:before="0" w:beforeAutospacing="0" w:after="0" w:afterAutospacing="0"/>
        <w:ind w:left="720"/>
        <w:rPr>
          <w:rFonts w:asciiTheme="minorHAnsi" w:hAnsiTheme="minorHAnsi"/>
        </w:rPr>
      </w:pPr>
      <w:r w:rsidRPr="00035D04">
        <w:rPr>
          <w:rFonts w:asciiTheme="minorHAnsi" w:hAnsiTheme="minorHAnsi"/>
        </w:rPr>
        <w:t>“The reading materials for this course were AMAZING.  I’m not just saying that because I didn’t have to pay for a textbook (although that was nice) but because I could be certain what I was reading was both relevant and the best source of information for the topic we were discussing. A textbook can be restricting to what and how material is presented and the use of articles meant Dr. Cozart had the freedom to bring in material that was actually pertinent to our topics. I was extremely grateful for this form of reading.”</w:t>
      </w:r>
    </w:p>
    <w:p w14:paraId="21AFB769" w14:textId="77777777" w:rsidR="005D4C57" w:rsidRPr="00035D04" w:rsidRDefault="005D4C57" w:rsidP="00CA7441">
      <w:pPr>
        <w:pStyle w:val="qowt-li-100"/>
        <w:spacing w:before="0" w:beforeAutospacing="0" w:after="0" w:afterAutospacing="0"/>
        <w:ind w:left="720"/>
        <w:rPr>
          <w:rFonts w:asciiTheme="minorHAnsi" w:hAnsiTheme="minorHAnsi"/>
        </w:rPr>
      </w:pPr>
    </w:p>
    <w:p w14:paraId="6D1C0D4F" w14:textId="77777777" w:rsidR="00CA7441" w:rsidRPr="00035D04" w:rsidRDefault="00CA7441" w:rsidP="00CA7441">
      <w:pPr>
        <w:pStyle w:val="NormalWeb"/>
        <w:spacing w:before="0" w:beforeAutospacing="0" w:after="0" w:afterAutospacing="0"/>
        <w:rPr>
          <w:rFonts w:asciiTheme="minorHAnsi" w:hAnsiTheme="minorHAnsi"/>
        </w:rPr>
      </w:pPr>
      <w:r w:rsidRPr="00035D04">
        <w:rPr>
          <w:rFonts w:asciiTheme="minorHAnsi" w:hAnsiTheme="minorHAnsi"/>
          <w:b/>
          <w:bCs/>
        </w:rPr>
        <w:t>4. Quantitative and Qualitative Measures</w:t>
      </w:r>
    </w:p>
    <w:p w14:paraId="20B9C95A" w14:textId="77777777" w:rsidR="005D4C57" w:rsidRPr="00035D04" w:rsidRDefault="005D4C57" w:rsidP="00CA7441">
      <w:pPr>
        <w:pStyle w:val="qowt-li-90"/>
        <w:spacing w:before="0" w:beforeAutospacing="0" w:after="0" w:afterAutospacing="0"/>
        <w:ind w:left="720"/>
        <w:rPr>
          <w:rFonts w:asciiTheme="minorHAnsi" w:hAnsiTheme="minorHAnsi"/>
          <w:i/>
          <w:iCs/>
        </w:rPr>
      </w:pPr>
    </w:p>
    <w:p w14:paraId="126E52D9" w14:textId="77777777" w:rsidR="00671E2B" w:rsidRPr="00035D04" w:rsidRDefault="00671E2B" w:rsidP="00CA7441">
      <w:pPr>
        <w:pStyle w:val="qowt-li-90"/>
        <w:spacing w:before="0" w:beforeAutospacing="0" w:after="0" w:afterAutospacing="0"/>
        <w:ind w:left="720"/>
        <w:rPr>
          <w:rFonts w:asciiTheme="minorHAnsi" w:hAnsiTheme="minorHAnsi"/>
          <w:b/>
        </w:rPr>
      </w:pPr>
      <w:r w:rsidRPr="00035D04">
        <w:rPr>
          <w:rFonts w:asciiTheme="minorHAnsi" w:hAnsiTheme="minorHAnsi"/>
          <w:b/>
        </w:rPr>
        <w:t>Pre-Implementation Results</w:t>
      </w:r>
    </w:p>
    <w:p w14:paraId="2D6CF772" w14:textId="77777777" w:rsidR="00671E2B" w:rsidRPr="00035D04" w:rsidRDefault="00671E2B" w:rsidP="00CA7441">
      <w:pPr>
        <w:pStyle w:val="qowt-li-90"/>
        <w:spacing w:before="0" w:beforeAutospacing="0" w:after="0" w:afterAutospacing="0"/>
        <w:ind w:left="720"/>
        <w:rPr>
          <w:rFonts w:asciiTheme="minorHAnsi" w:hAnsiTheme="minorHAnsi"/>
          <w:b/>
        </w:rPr>
      </w:pPr>
    </w:p>
    <w:p w14:paraId="485D9520" w14:textId="274F6D89" w:rsidR="00671E2B" w:rsidRPr="00035D04" w:rsidRDefault="00C37155" w:rsidP="00CA7441">
      <w:pPr>
        <w:pStyle w:val="qowt-li-90"/>
        <w:spacing w:before="0" w:beforeAutospacing="0" w:after="0" w:afterAutospacing="0"/>
        <w:ind w:left="720"/>
        <w:rPr>
          <w:rFonts w:asciiTheme="minorHAnsi" w:hAnsiTheme="minorHAnsi"/>
        </w:rPr>
      </w:pPr>
      <w:r w:rsidRPr="00035D04">
        <w:rPr>
          <w:rFonts w:asciiTheme="minorHAnsi" w:hAnsiTheme="minorHAnsi"/>
        </w:rPr>
        <w:t>The initial proposal for this no-cost-to-students materials project was submitted early during the Fall 2014 semester.  Thus, a traditional textbook was used with three different course sections of EDUC 2120 at The University of Georgia.  The course sizes were, 29, 44, and 44, after four recorded withdrawals.  For these sections, the course textbook, Multicultural Education in a Pluralistic Society, was recommended, but not required.  The grant for this project was awarded in October of 2014, so Institutional Review Board (IRB) approval was awarded in December of 2014 to survey students about their impressions and usefulness of the textbook.</w:t>
      </w:r>
    </w:p>
    <w:p w14:paraId="2ED4FB00" w14:textId="77777777" w:rsidR="00C37155" w:rsidRPr="00035D04" w:rsidRDefault="00C37155" w:rsidP="00CA7441">
      <w:pPr>
        <w:pStyle w:val="qowt-li-90"/>
        <w:spacing w:before="0" w:beforeAutospacing="0" w:after="0" w:afterAutospacing="0"/>
        <w:ind w:left="720"/>
        <w:rPr>
          <w:rFonts w:asciiTheme="minorHAnsi" w:hAnsiTheme="minorHAnsi"/>
        </w:rPr>
      </w:pPr>
    </w:p>
    <w:p w14:paraId="1CB027A3" w14:textId="739020BB" w:rsidR="00C37155" w:rsidRPr="00035D04" w:rsidRDefault="00C37155" w:rsidP="00CA7441">
      <w:pPr>
        <w:pStyle w:val="qowt-li-90"/>
        <w:spacing w:before="0" w:beforeAutospacing="0" w:after="0" w:afterAutospacing="0"/>
        <w:ind w:left="720"/>
        <w:rPr>
          <w:rFonts w:asciiTheme="minorHAnsi" w:hAnsiTheme="minorHAnsi"/>
        </w:rPr>
      </w:pPr>
      <w:r w:rsidRPr="00035D04">
        <w:rPr>
          <w:rFonts w:asciiTheme="minorHAnsi" w:hAnsiTheme="minorHAnsi"/>
        </w:rPr>
        <w:t xml:space="preserve">Both quantitative and qualitative measures were used to </w:t>
      </w:r>
      <w:r w:rsidR="007A7A49" w:rsidRPr="00035D04">
        <w:rPr>
          <w:rFonts w:asciiTheme="minorHAnsi" w:hAnsiTheme="minorHAnsi"/>
        </w:rPr>
        <w:t>evaluate initial student responses prior to implementation of this project.  For quantitative measures, the withdrawal and failure rates were calculated at 3.30% and 0%, respectively for Fall 2014. (</w:t>
      </w:r>
      <w:r w:rsidR="007A7A49" w:rsidRPr="00035D04">
        <w:rPr>
          <w:rFonts w:asciiTheme="minorHAnsi" w:hAnsiTheme="minorHAnsi"/>
          <w:i/>
        </w:rPr>
        <w:t>Note:  UGA does not keep a record of drops from courses during drop/add, so that measure is not discussed in this analysis.</w:t>
      </w:r>
      <w:r w:rsidR="007A7A49" w:rsidRPr="00035D04">
        <w:rPr>
          <w:rFonts w:asciiTheme="minorHAnsi" w:hAnsiTheme="minorHAnsi"/>
        </w:rPr>
        <w:t xml:space="preserve">) </w:t>
      </w:r>
    </w:p>
    <w:p w14:paraId="0F762EC7" w14:textId="77777777" w:rsidR="007A7A49" w:rsidRPr="00035D04" w:rsidRDefault="007A7A49" w:rsidP="00CA7441">
      <w:pPr>
        <w:pStyle w:val="qowt-li-90"/>
        <w:spacing w:before="0" w:beforeAutospacing="0" w:after="0" w:afterAutospacing="0"/>
        <w:ind w:left="720"/>
        <w:rPr>
          <w:rFonts w:asciiTheme="minorHAnsi" w:hAnsiTheme="minorHAnsi"/>
        </w:rPr>
      </w:pPr>
    </w:p>
    <w:p w14:paraId="43ED4BF4" w14:textId="36C9EC35" w:rsidR="007A7A49" w:rsidRPr="00035D04" w:rsidRDefault="007A7A49" w:rsidP="00CA7441">
      <w:pPr>
        <w:pStyle w:val="qowt-li-90"/>
        <w:spacing w:before="0" w:beforeAutospacing="0" w:after="0" w:afterAutospacing="0"/>
        <w:ind w:left="720"/>
        <w:rPr>
          <w:rFonts w:asciiTheme="minorHAnsi" w:hAnsiTheme="minorHAnsi"/>
        </w:rPr>
      </w:pPr>
      <w:r w:rsidRPr="00035D04">
        <w:rPr>
          <w:rFonts w:asciiTheme="minorHAnsi" w:hAnsiTheme="minorHAnsi"/>
        </w:rPr>
        <w:t xml:space="preserve">Additionally, to better understand how important the textbook was to student success in the class, as well as to gauge how helpful the students found the textbook, two </w:t>
      </w:r>
      <w:proofErr w:type="spellStart"/>
      <w:r w:rsidRPr="00035D04">
        <w:rPr>
          <w:rFonts w:asciiTheme="minorHAnsi" w:hAnsiTheme="minorHAnsi"/>
        </w:rPr>
        <w:t>Likert</w:t>
      </w:r>
      <w:proofErr w:type="spellEnd"/>
      <w:r w:rsidRPr="00035D04">
        <w:rPr>
          <w:rFonts w:asciiTheme="minorHAnsi" w:hAnsiTheme="minorHAnsi"/>
        </w:rPr>
        <w:t>-scale items were included on the</w:t>
      </w:r>
      <w:r w:rsidR="00FB68FD" w:rsidRPr="00035D04">
        <w:rPr>
          <w:rFonts w:asciiTheme="minorHAnsi" w:hAnsiTheme="minorHAnsi"/>
        </w:rPr>
        <w:t xml:space="preserve"> final course evaluation where,</w:t>
      </w:r>
      <w:r w:rsidRPr="00035D04">
        <w:rPr>
          <w:rFonts w:asciiTheme="minorHAnsi" w:hAnsiTheme="minorHAnsi"/>
        </w:rPr>
        <w:t xml:space="preserve"> strongly disagree = 1, </w:t>
      </w:r>
      <w:r w:rsidRPr="00035D04">
        <w:rPr>
          <w:rFonts w:asciiTheme="minorHAnsi" w:hAnsiTheme="minorHAnsi"/>
        </w:rPr>
        <w:lastRenderedPageBreak/>
        <w:t>disagree = 2, neutral = 3, agree = 4, and strongly agree = 5. Of the 117 enrolled students, 103 completed the survey, with individual section resp</w:t>
      </w:r>
      <w:r w:rsidR="00BA4519" w:rsidRPr="00035D04">
        <w:rPr>
          <w:rFonts w:asciiTheme="minorHAnsi" w:hAnsiTheme="minorHAnsi"/>
        </w:rPr>
        <w:t>onse rates at 86%, 84%, and 93%, and an overall response rate of 88.03%.</w:t>
      </w:r>
    </w:p>
    <w:p w14:paraId="30B8244E" w14:textId="77777777" w:rsidR="007A7A49" w:rsidRPr="00035D04" w:rsidRDefault="007A7A49" w:rsidP="00CA7441">
      <w:pPr>
        <w:pStyle w:val="qowt-li-90"/>
        <w:spacing w:before="0" w:beforeAutospacing="0" w:after="0" w:afterAutospacing="0"/>
        <w:ind w:left="720"/>
        <w:rPr>
          <w:rFonts w:asciiTheme="minorHAnsi" w:hAnsiTheme="minorHAnsi"/>
        </w:rPr>
      </w:pPr>
    </w:p>
    <w:p w14:paraId="066364BD" w14:textId="7FA80C30" w:rsidR="00E86A80" w:rsidRPr="00035D04" w:rsidRDefault="007A7A49" w:rsidP="0099304D">
      <w:pPr>
        <w:pStyle w:val="qowt-li-90"/>
        <w:spacing w:before="0" w:beforeAutospacing="0" w:after="0" w:afterAutospacing="0"/>
        <w:ind w:left="720"/>
        <w:rPr>
          <w:rFonts w:asciiTheme="minorHAnsi" w:hAnsiTheme="minorHAnsi"/>
        </w:rPr>
      </w:pPr>
      <w:r w:rsidRPr="00035D04">
        <w:rPr>
          <w:rFonts w:asciiTheme="minorHAnsi" w:hAnsiTheme="minorHAnsi"/>
        </w:rPr>
        <w:t>The first question stated, “</w:t>
      </w:r>
      <w:r w:rsidRPr="00035D04">
        <w:rPr>
          <w:rFonts w:asciiTheme="minorHAnsi" w:hAnsiTheme="minorHAnsi"/>
          <w:i/>
        </w:rPr>
        <w:t>The textbook, Multicultural Education in a Pluralistic Society, was important to my success in this class</w:t>
      </w:r>
      <w:r w:rsidRPr="00035D04">
        <w:rPr>
          <w:rFonts w:asciiTheme="minorHAnsi" w:hAnsiTheme="minorHAnsi"/>
        </w:rPr>
        <w:t>,”</w:t>
      </w:r>
      <w:r w:rsidR="00F70BD3" w:rsidRPr="00035D04">
        <w:rPr>
          <w:rFonts w:asciiTheme="minorHAnsi" w:hAnsiTheme="minorHAnsi"/>
        </w:rPr>
        <w:t xml:space="preserve"> had a mean score of 2.87, meaning more than half of students disagreed with this statement, and felt that the textbook was not important to their success in the course.</w:t>
      </w:r>
      <w:r w:rsidR="0099304D" w:rsidRPr="00035D04">
        <w:rPr>
          <w:rFonts w:asciiTheme="minorHAnsi" w:hAnsiTheme="minorHAnsi"/>
        </w:rPr>
        <w:t xml:space="preserve"> </w:t>
      </w:r>
      <w:r w:rsidR="00F70BD3" w:rsidRPr="00035D04">
        <w:rPr>
          <w:rFonts w:asciiTheme="minorHAnsi" w:hAnsiTheme="minorHAnsi"/>
        </w:rPr>
        <w:t>The second item stated, “</w:t>
      </w:r>
      <w:r w:rsidR="00F70BD3" w:rsidRPr="00035D04">
        <w:rPr>
          <w:rFonts w:asciiTheme="minorHAnsi" w:hAnsiTheme="minorHAnsi"/>
          <w:i/>
        </w:rPr>
        <w:t>I found the course textbook engaging and helpful</w:t>
      </w:r>
      <w:r w:rsidR="00F70BD3" w:rsidRPr="00035D04">
        <w:rPr>
          <w:rFonts w:asciiTheme="minorHAnsi" w:hAnsiTheme="minorHAnsi"/>
        </w:rPr>
        <w:t>”.  The mean score for this item was 2.92 with a median score of 3.  This tells us that slightly more than half of students were neutral or</w:t>
      </w:r>
      <w:r w:rsidR="0099304D" w:rsidRPr="00035D04">
        <w:rPr>
          <w:rFonts w:asciiTheme="minorHAnsi" w:hAnsiTheme="minorHAnsi"/>
        </w:rPr>
        <w:t xml:space="preserve"> disagreed with their statement, and did not feel the textbook was engaging or helpful.</w:t>
      </w:r>
    </w:p>
    <w:p w14:paraId="123ED0EE" w14:textId="77777777" w:rsidR="00E86A80" w:rsidRPr="00035D04" w:rsidRDefault="00E86A80" w:rsidP="00CA7441">
      <w:pPr>
        <w:pStyle w:val="qowt-li-90"/>
        <w:spacing w:before="0" w:beforeAutospacing="0" w:after="0" w:afterAutospacing="0"/>
        <w:ind w:left="720"/>
        <w:rPr>
          <w:rFonts w:asciiTheme="minorHAnsi" w:hAnsiTheme="minorHAnsi"/>
        </w:rPr>
      </w:pPr>
    </w:p>
    <w:p w14:paraId="506B11C5" w14:textId="15CFE53E" w:rsidR="00F70BD3" w:rsidRPr="00035D04" w:rsidRDefault="00E86A80" w:rsidP="00CA7441">
      <w:pPr>
        <w:pStyle w:val="qowt-li-90"/>
        <w:spacing w:before="0" w:beforeAutospacing="0" w:after="0" w:afterAutospacing="0"/>
        <w:ind w:left="720"/>
        <w:rPr>
          <w:rFonts w:asciiTheme="minorHAnsi" w:hAnsiTheme="minorHAnsi"/>
        </w:rPr>
      </w:pPr>
      <w:r w:rsidRPr="00035D04">
        <w:rPr>
          <w:rFonts w:asciiTheme="minorHAnsi" w:hAnsiTheme="minorHAnsi"/>
        </w:rPr>
        <w:t>Both of these were important outcomes, as the results gave me confidence students would not be negatively impacted in their course success by eliminating the textbook in the subsequent semester.  Further, these results also provided some evidence students were not all utilizing the textbook to help them in the course.</w:t>
      </w:r>
    </w:p>
    <w:p w14:paraId="2FD4622A" w14:textId="77777777" w:rsidR="00F70BD3" w:rsidRPr="00035D04" w:rsidRDefault="00F70BD3" w:rsidP="00CA7441">
      <w:pPr>
        <w:pStyle w:val="qowt-li-90"/>
        <w:spacing w:before="0" w:beforeAutospacing="0" w:after="0" w:afterAutospacing="0"/>
        <w:ind w:left="720"/>
        <w:rPr>
          <w:rFonts w:asciiTheme="minorHAnsi" w:hAnsiTheme="minorHAnsi"/>
        </w:rPr>
      </w:pPr>
    </w:p>
    <w:p w14:paraId="01C6C2FF" w14:textId="1BF45574" w:rsidR="00F70BD3" w:rsidRPr="00035D04" w:rsidRDefault="00F70BD3" w:rsidP="00CA7441">
      <w:pPr>
        <w:pStyle w:val="qowt-li-90"/>
        <w:spacing w:before="0" w:beforeAutospacing="0" w:after="0" w:afterAutospacing="0"/>
        <w:ind w:left="720"/>
        <w:rPr>
          <w:rFonts w:asciiTheme="minorHAnsi" w:hAnsiTheme="minorHAnsi"/>
        </w:rPr>
      </w:pPr>
      <w:r w:rsidRPr="00035D04">
        <w:rPr>
          <w:rFonts w:asciiTheme="minorHAnsi" w:hAnsiTheme="minorHAnsi"/>
        </w:rPr>
        <w:t xml:space="preserve">Qualitative measures were also used to provide </w:t>
      </w:r>
      <w:r w:rsidR="00E86A80" w:rsidRPr="00035D04">
        <w:rPr>
          <w:rFonts w:asciiTheme="minorHAnsi" w:hAnsiTheme="minorHAnsi"/>
        </w:rPr>
        <w:t>context to the student responses on the quantitative items.  Specifically, an open-ended question asked students, “</w:t>
      </w:r>
      <w:r w:rsidR="00E86A80" w:rsidRPr="00035D04">
        <w:rPr>
          <w:rFonts w:asciiTheme="minorHAnsi" w:hAnsiTheme="minorHAnsi"/>
          <w:i/>
        </w:rPr>
        <w:t>Please provide feedback on your use and evaluation of the course textbook</w:t>
      </w:r>
      <w:r w:rsidR="00E86A80" w:rsidRPr="00035D04">
        <w:rPr>
          <w:rFonts w:asciiTheme="minorHAnsi" w:hAnsiTheme="minorHAnsi"/>
        </w:rPr>
        <w:t>.” Because the textbook was going to be eliminated the following semester, Spring 2015, it was important to understand students’ thoughts on the textbook that spent a semester using it.  The student statements were coded according to themes that emerged across the responses.  While 103 students completed the survey, only 90 responded to the open-ended question (87.38%).</w:t>
      </w:r>
      <w:r w:rsidR="0099304D" w:rsidRPr="00035D04">
        <w:rPr>
          <w:rFonts w:asciiTheme="minorHAnsi" w:hAnsiTheme="minorHAnsi"/>
        </w:rPr>
        <w:t xml:space="preserve">  Five major themes emerged during the coding process providing insight to how students were actually utilizing the textbook for the course: (1) students did not purchase the textbook, (2) students purchased the textbook, but did not use it, (3) students purchased the textbook and rarely used it, (4) students found it helpful for the course, and (5) students used the textbook as a reference to expand on course topics.  A summary of these findings is presented in the table below.</w:t>
      </w:r>
    </w:p>
    <w:p w14:paraId="47EAF636" w14:textId="77777777" w:rsidR="0099304D" w:rsidRPr="00035D04" w:rsidRDefault="0099304D" w:rsidP="00CA7441">
      <w:pPr>
        <w:pStyle w:val="qowt-li-90"/>
        <w:spacing w:before="0" w:beforeAutospacing="0" w:after="0" w:afterAutospacing="0"/>
        <w:ind w:left="720"/>
        <w:rPr>
          <w:rFonts w:asciiTheme="minorHAnsi" w:hAnsiTheme="minorHAnsi"/>
        </w:rPr>
      </w:pPr>
    </w:p>
    <w:p w14:paraId="4C4933FC" w14:textId="3E75FC56" w:rsidR="0099304D" w:rsidRPr="00035D04" w:rsidRDefault="0099304D" w:rsidP="0099304D">
      <w:pPr>
        <w:rPr>
          <w:i/>
          <w:sz w:val="24"/>
          <w:szCs w:val="24"/>
        </w:rPr>
      </w:pPr>
      <w:r w:rsidRPr="00035D04">
        <w:rPr>
          <w:i/>
          <w:sz w:val="24"/>
          <w:szCs w:val="24"/>
        </w:rPr>
        <w:t>Table 1.  Student Feedback Themes on Original Course Textbook</w:t>
      </w:r>
    </w:p>
    <w:tbl>
      <w:tblPr>
        <w:tblStyle w:val="TableGrid"/>
        <w:tblW w:w="0" w:type="auto"/>
        <w:tblInd w:w="648" w:type="dxa"/>
        <w:tblLook w:val="04A0" w:firstRow="1" w:lastRow="0" w:firstColumn="1" w:lastColumn="0" w:noHBand="0" w:noVBand="1"/>
      </w:tblPr>
      <w:tblGrid>
        <w:gridCol w:w="3780"/>
        <w:gridCol w:w="2250"/>
        <w:gridCol w:w="2790"/>
      </w:tblGrid>
      <w:tr w:rsidR="0099304D" w:rsidRPr="00035D04" w14:paraId="697991A9" w14:textId="77777777" w:rsidTr="0099304D">
        <w:tc>
          <w:tcPr>
            <w:tcW w:w="3780" w:type="dxa"/>
            <w:shd w:val="clear" w:color="auto" w:fill="BFBFBF" w:themeFill="background1" w:themeFillShade="BF"/>
          </w:tcPr>
          <w:p w14:paraId="2F5C2D4E" w14:textId="77777777" w:rsidR="0099304D" w:rsidRPr="00035D04" w:rsidRDefault="0099304D" w:rsidP="00FB68FD">
            <w:pPr>
              <w:ind w:left="72"/>
              <w:rPr>
                <w:b/>
                <w:sz w:val="24"/>
                <w:szCs w:val="24"/>
              </w:rPr>
            </w:pPr>
            <w:r w:rsidRPr="00035D04">
              <w:rPr>
                <w:b/>
                <w:sz w:val="24"/>
                <w:szCs w:val="24"/>
              </w:rPr>
              <w:t>Theme</w:t>
            </w:r>
          </w:p>
        </w:tc>
        <w:tc>
          <w:tcPr>
            <w:tcW w:w="2250" w:type="dxa"/>
            <w:shd w:val="clear" w:color="auto" w:fill="BFBFBF" w:themeFill="background1" w:themeFillShade="BF"/>
          </w:tcPr>
          <w:p w14:paraId="7E42CC3E" w14:textId="77777777" w:rsidR="0099304D" w:rsidRPr="00035D04" w:rsidRDefault="0099304D" w:rsidP="00FB68FD">
            <w:pPr>
              <w:rPr>
                <w:b/>
                <w:sz w:val="24"/>
                <w:szCs w:val="24"/>
              </w:rPr>
            </w:pPr>
            <w:r w:rsidRPr="00035D04">
              <w:rPr>
                <w:b/>
                <w:sz w:val="24"/>
                <w:szCs w:val="24"/>
              </w:rPr>
              <w:t>Number of Responses</w:t>
            </w:r>
          </w:p>
        </w:tc>
        <w:tc>
          <w:tcPr>
            <w:tcW w:w="2790" w:type="dxa"/>
            <w:shd w:val="clear" w:color="auto" w:fill="BFBFBF" w:themeFill="background1" w:themeFillShade="BF"/>
          </w:tcPr>
          <w:p w14:paraId="63A26E97" w14:textId="77777777" w:rsidR="0099304D" w:rsidRPr="00035D04" w:rsidRDefault="0099304D" w:rsidP="00FB68FD">
            <w:pPr>
              <w:rPr>
                <w:b/>
                <w:sz w:val="24"/>
                <w:szCs w:val="24"/>
              </w:rPr>
            </w:pPr>
            <w:r w:rsidRPr="00035D04">
              <w:rPr>
                <w:b/>
                <w:sz w:val="24"/>
                <w:szCs w:val="24"/>
              </w:rPr>
              <w:t>Percentage of Respondents</w:t>
            </w:r>
          </w:p>
        </w:tc>
      </w:tr>
      <w:tr w:rsidR="0099304D" w:rsidRPr="00035D04" w14:paraId="1C85F840" w14:textId="77777777" w:rsidTr="0099304D">
        <w:tc>
          <w:tcPr>
            <w:tcW w:w="3780" w:type="dxa"/>
          </w:tcPr>
          <w:p w14:paraId="77D5F56E" w14:textId="6ED8DFCA" w:rsidR="0099304D" w:rsidRPr="00035D04" w:rsidRDefault="0099304D" w:rsidP="00FB68FD">
            <w:pPr>
              <w:rPr>
                <w:sz w:val="24"/>
                <w:szCs w:val="24"/>
              </w:rPr>
            </w:pPr>
            <w:r w:rsidRPr="00035D04">
              <w:rPr>
                <w:sz w:val="24"/>
                <w:szCs w:val="24"/>
              </w:rPr>
              <w:t>Did not purchase textbook</w:t>
            </w:r>
          </w:p>
        </w:tc>
        <w:tc>
          <w:tcPr>
            <w:tcW w:w="2250" w:type="dxa"/>
          </w:tcPr>
          <w:p w14:paraId="66357285" w14:textId="03C2A4D9" w:rsidR="0099304D" w:rsidRPr="00035D04" w:rsidRDefault="00FB68FD" w:rsidP="00FB68FD">
            <w:pPr>
              <w:jc w:val="center"/>
              <w:rPr>
                <w:sz w:val="24"/>
                <w:szCs w:val="24"/>
              </w:rPr>
            </w:pPr>
            <w:r w:rsidRPr="00035D04">
              <w:rPr>
                <w:sz w:val="24"/>
                <w:szCs w:val="24"/>
              </w:rPr>
              <w:t>26</w:t>
            </w:r>
          </w:p>
        </w:tc>
        <w:tc>
          <w:tcPr>
            <w:tcW w:w="2790" w:type="dxa"/>
          </w:tcPr>
          <w:p w14:paraId="2B77585F" w14:textId="36466725" w:rsidR="0099304D" w:rsidRPr="00035D04" w:rsidRDefault="00FB68FD" w:rsidP="00FB68FD">
            <w:pPr>
              <w:jc w:val="center"/>
              <w:rPr>
                <w:sz w:val="24"/>
                <w:szCs w:val="24"/>
              </w:rPr>
            </w:pPr>
            <w:r w:rsidRPr="00035D04">
              <w:rPr>
                <w:sz w:val="24"/>
                <w:szCs w:val="24"/>
              </w:rPr>
              <w:t>28.89</w:t>
            </w:r>
            <w:r w:rsidR="0099304D" w:rsidRPr="00035D04">
              <w:rPr>
                <w:sz w:val="24"/>
                <w:szCs w:val="24"/>
              </w:rPr>
              <w:t>%</w:t>
            </w:r>
          </w:p>
        </w:tc>
      </w:tr>
      <w:tr w:rsidR="0099304D" w:rsidRPr="00035D04" w14:paraId="1E740E53" w14:textId="77777777" w:rsidTr="0099304D">
        <w:tc>
          <w:tcPr>
            <w:tcW w:w="3780" w:type="dxa"/>
          </w:tcPr>
          <w:p w14:paraId="5A916A84" w14:textId="4DE4749F" w:rsidR="0099304D" w:rsidRPr="00035D04" w:rsidRDefault="0099304D" w:rsidP="00FB68FD">
            <w:pPr>
              <w:rPr>
                <w:sz w:val="24"/>
                <w:szCs w:val="24"/>
              </w:rPr>
            </w:pPr>
            <w:r w:rsidRPr="00035D04">
              <w:rPr>
                <w:sz w:val="24"/>
                <w:szCs w:val="24"/>
              </w:rPr>
              <w:t>Purchased textbook, did not use</w:t>
            </w:r>
          </w:p>
        </w:tc>
        <w:tc>
          <w:tcPr>
            <w:tcW w:w="2250" w:type="dxa"/>
          </w:tcPr>
          <w:p w14:paraId="17B03DCC" w14:textId="1A6CBEF9" w:rsidR="0099304D" w:rsidRPr="00035D04" w:rsidRDefault="00FB68FD" w:rsidP="00FB68FD">
            <w:pPr>
              <w:jc w:val="center"/>
              <w:rPr>
                <w:sz w:val="24"/>
                <w:szCs w:val="24"/>
              </w:rPr>
            </w:pPr>
            <w:r w:rsidRPr="00035D04">
              <w:rPr>
                <w:sz w:val="24"/>
                <w:szCs w:val="24"/>
              </w:rPr>
              <w:t>27</w:t>
            </w:r>
          </w:p>
        </w:tc>
        <w:tc>
          <w:tcPr>
            <w:tcW w:w="2790" w:type="dxa"/>
          </w:tcPr>
          <w:p w14:paraId="5F3F678A" w14:textId="31CE2F00" w:rsidR="0099304D" w:rsidRPr="00035D04" w:rsidRDefault="00FB68FD" w:rsidP="00FB68FD">
            <w:pPr>
              <w:jc w:val="center"/>
              <w:rPr>
                <w:sz w:val="24"/>
                <w:szCs w:val="24"/>
              </w:rPr>
            </w:pPr>
            <w:r w:rsidRPr="00035D04">
              <w:rPr>
                <w:sz w:val="24"/>
                <w:szCs w:val="24"/>
              </w:rPr>
              <w:t>30.00</w:t>
            </w:r>
            <w:r w:rsidR="0099304D" w:rsidRPr="00035D04">
              <w:rPr>
                <w:sz w:val="24"/>
                <w:szCs w:val="24"/>
              </w:rPr>
              <w:t>%</w:t>
            </w:r>
          </w:p>
        </w:tc>
      </w:tr>
      <w:tr w:rsidR="0099304D" w:rsidRPr="00035D04" w14:paraId="4AB2ECAB" w14:textId="77777777" w:rsidTr="0099304D">
        <w:tc>
          <w:tcPr>
            <w:tcW w:w="3780" w:type="dxa"/>
          </w:tcPr>
          <w:p w14:paraId="65563CEC" w14:textId="46C05746" w:rsidR="0099304D" w:rsidRPr="00035D04" w:rsidRDefault="0099304D" w:rsidP="00FB68FD">
            <w:pPr>
              <w:rPr>
                <w:sz w:val="24"/>
                <w:szCs w:val="24"/>
              </w:rPr>
            </w:pPr>
            <w:r w:rsidRPr="00035D04">
              <w:rPr>
                <w:sz w:val="24"/>
                <w:szCs w:val="24"/>
              </w:rPr>
              <w:t>Purchased textbook, rarely used</w:t>
            </w:r>
          </w:p>
        </w:tc>
        <w:tc>
          <w:tcPr>
            <w:tcW w:w="2250" w:type="dxa"/>
          </w:tcPr>
          <w:p w14:paraId="386C2178" w14:textId="3725F982" w:rsidR="0099304D" w:rsidRPr="00035D04" w:rsidRDefault="00FB68FD" w:rsidP="00FB68FD">
            <w:pPr>
              <w:jc w:val="center"/>
              <w:rPr>
                <w:sz w:val="24"/>
                <w:szCs w:val="24"/>
              </w:rPr>
            </w:pPr>
            <w:r w:rsidRPr="00035D04">
              <w:rPr>
                <w:sz w:val="24"/>
                <w:szCs w:val="24"/>
              </w:rPr>
              <w:t>23</w:t>
            </w:r>
          </w:p>
        </w:tc>
        <w:tc>
          <w:tcPr>
            <w:tcW w:w="2790" w:type="dxa"/>
          </w:tcPr>
          <w:p w14:paraId="274CDC7A" w14:textId="5ED282B1" w:rsidR="0099304D" w:rsidRPr="00035D04" w:rsidRDefault="00FB68FD" w:rsidP="00FB68FD">
            <w:pPr>
              <w:jc w:val="center"/>
              <w:rPr>
                <w:sz w:val="24"/>
                <w:szCs w:val="24"/>
              </w:rPr>
            </w:pPr>
            <w:r w:rsidRPr="00035D04">
              <w:rPr>
                <w:sz w:val="24"/>
                <w:szCs w:val="24"/>
              </w:rPr>
              <w:t>25.56</w:t>
            </w:r>
            <w:r w:rsidR="0099304D" w:rsidRPr="00035D04">
              <w:rPr>
                <w:sz w:val="24"/>
                <w:szCs w:val="24"/>
              </w:rPr>
              <w:t>%</w:t>
            </w:r>
          </w:p>
        </w:tc>
      </w:tr>
      <w:tr w:rsidR="0099304D" w:rsidRPr="00035D04" w14:paraId="45FD4F4E" w14:textId="77777777" w:rsidTr="0099304D">
        <w:tc>
          <w:tcPr>
            <w:tcW w:w="3780" w:type="dxa"/>
          </w:tcPr>
          <w:p w14:paraId="4D2E2660" w14:textId="5EE65C4F" w:rsidR="0099304D" w:rsidRPr="00035D04" w:rsidRDefault="0099304D" w:rsidP="00FB68FD">
            <w:pPr>
              <w:rPr>
                <w:sz w:val="24"/>
                <w:szCs w:val="24"/>
              </w:rPr>
            </w:pPr>
            <w:r w:rsidRPr="00035D04">
              <w:rPr>
                <w:sz w:val="24"/>
                <w:szCs w:val="24"/>
              </w:rPr>
              <w:t>Purchased textbook, found helpful</w:t>
            </w:r>
          </w:p>
        </w:tc>
        <w:tc>
          <w:tcPr>
            <w:tcW w:w="2250" w:type="dxa"/>
          </w:tcPr>
          <w:p w14:paraId="7E830AEF" w14:textId="2DE79179" w:rsidR="0099304D" w:rsidRPr="00035D04" w:rsidRDefault="00FB68FD" w:rsidP="00FB68FD">
            <w:pPr>
              <w:jc w:val="center"/>
              <w:rPr>
                <w:sz w:val="24"/>
                <w:szCs w:val="24"/>
              </w:rPr>
            </w:pPr>
            <w:r w:rsidRPr="00035D04">
              <w:rPr>
                <w:sz w:val="24"/>
                <w:szCs w:val="24"/>
              </w:rPr>
              <w:t>18</w:t>
            </w:r>
          </w:p>
        </w:tc>
        <w:tc>
          <w:tcPr>
            <w:tcW w:w="2790" w:type="dxa"/>
          </w:tcPr>
          <w:p w14:paraId="04477FC5" w14:textId="3C8CC2CD" w:rsidR="0099304D" w:rsidRPr="00035D04" w:rsidRDefault="00FB68FD" w:rsidP="00FB68FD">
            <w:pPr>
              <w:jc w:val="center"/>
              <w:rPr>
                <w:sz w:val="24"/>
                <w:szCs w:val="24"/>
              </w:rPr>
            </w:pPr>
            <w:r w:rsidRPr="00035D04">
              <w:rPr>
                <w:sz w:val="24"/>
                <w:szCs w:val="24"/>
              </w:rPr>
              <w:t>20.00</w:t>
            </w:r>
            <w:r w:rsidR="0099304D" w:rsidRPr="00035D04">
              <w:rPr>
                <w:sz w:val="24"/>
                <w:szCs w:val="24"/>
              </w:rPr>
              <w:t>%</w:t>
            </w:r>
          </w:p>
        </w:tc>
      </w:tr>
      <w:tr w:rsidR="0099304D" w:rsidRPr="00035D04" w14:paraId="5C45DC19" w14:textId="77777777" w:rsidTr="0099304D">
        <w:tc>
          <w:tcPr>
            <w:tcW w:w="3780" w:type="dxa"/>
          </w:tcPr>
          <w:p w14:paraId="21D839A8" w14:textId="60DD93CE" w:rsidR="0099304D" w:rsidRPr="00035D04" w:rsidRDefault="0099304D" w:rsidP="00FB68FD">
            <w:pPr>
              <w:rPr>
                <w:sz w:val="24"/>
                <w:szCs w:val="24"/>
              </w:rPr>
            </w:pPr>
            <w:r w:rsidRPr="00035D04">
              <w:rPr>
                <w:sz w:val="24"/>
                <w:szCs w:val="24"/>
              </w:rPr>
              <w:t>Purchased textbook, used as reference</w:t>
            </w:r>
          </w:p>
        </w:tc>
        <w:tc>
          <w:tcPr>
            <w:tcW w:w="2250" w:type="dxa"/>
          </w:tcPr>
          <w:p w14:paraId="7F289F18" w14:textId="73E6652D" w:rsidR="0099304D" w:rsidRPr="00035D04" w:rsidRDefault="00FB68FD" w:rsidP="00FB68FD">
            <w:pPr>
              <w:jc w:val="center"/>
              <w:rPr>
                <w:sz w:val="24"/>
                <w:szCs w:val="24"/>
              </w:rPr>
            </w:pPr>
            <w:r w:rsidRPr="00035D04">
              <w:rPr>
                <w:sz w:val="24"/>
                <w:szCs w:val="24"/>
              </w:rPr>
              <w:t>1</w:t>
            </w:r>
            <w:r w:rsidR="000F5415" w:rsidRPr="00035D04">
              <w:rPr>
                <w:sz w:val="24"/>
                <w:szCs w:val="24"/>
              </w:rPr>
              <w:t>7</w:t>
            </w:r>
          </w:p>
        </w:tc>
        <w:tc>
          <w:tcPr>
            <w:tcW w:w="2790" w:type="dxa"/>
          </w:tcPr>
          <w:p w14:paraId="546C5D58" w14:textId="51297ADD" w:rsidR="0099304D" w:rsidRPr="00035D04" w:rsidRDefault="000F5415" w:rsidP="00FB68FD">
            <w:pPr>
              <w:jc w:val="center"/>
              <w:rPr>
                <w:sz w:val="24"/>
                <w:szCs w:val="24"/>
              </w:rPr>
            </w:pPr>
            <w:r w:rsidRPr="00035D04">
              <w:rPr>
                <w:sz w:val="24"/>
                <w:szCs w:val="24"/>
              </w:rPr>
              <w:t>18.89</w:t>
            </w:r>
            <w:r w:rsidR="0099304D" w:rsidRPr="00035D04">
              <w:rPr>
                <w:sz w:val="24"/>
                <w:szCs w:val="24"/>
              </w:rPr>
              <w:t>%</w:t>
            </w:r>
          </w:p>
        </w:tc>
      </w:tr>
    </w:tbl>
    <w:p w14:paraId="077F02D5" w14:textId="77777777" w:rsidR="0099304D" w:rsidRPr="00035D04" w:rsidRDefault="0099304D" w:rsidP="00CA7441">
      <w:pPr>
        <w:pStyle w:val="qowt-li-90"/>
        <w:spacing w:before="0" w:beforeAutospacing="0" w:after="0" w:afterAutospacing="0"/>
        <w:ind w:left="720"/>
        <w:rPr>
          <w:rFonts w:asciiTheme="minorHAnsi" w:hAnsiTheme="minorHAnsi"/>
        </w:rPr>
      </w:pPr>
    </w:p>
    <w:p w14:paraId="7B778B96" w14:textId="29DC12CA" w:rsidR="00BA4519" w:rsidRPr="00035D04" w:rsidRDefault="00BA4519" w:rsidP="00CA7441">
      <w:pPr>
        <w:pStyle w:val="qowt-li-90"/>
        <w:spacing w:before="0" w:beforeAutospacing="0" w:after="0" w:afterAutospacing="0"/>
        <w:ind w:left="720"/>
        <w:rPr>
          <w:rFonts w:asciiTheme="minorHAnsi" w:hAnsiTheme="minorHAnsi"/>
        </w:rPr>
      </w:pPr>
      <w:r w:rsidRPr="00035D04">
        <w:rPr>
          <w:rFonts w:asciiTheme="minorHAnsi" w:hAnsiTheme="minorHAnsi"/>
        </w:rPr>
        <w:t>These findings are in keeping with other data that have shown typically about 30% of students do not purchase the textbook for a course (</w:t>
      </w:r>
      <w:r w:rsidRPr="00035D04">
        <w:rPr>
          <w:rFonts w:asciiTheme="minorHAnsi" w:eastAsia="Calibri" w:hAnsiTheme="minorHAnsi" w:cs="Calibri"/>
        </w:rPr>
        <w:t xml:space="preserve">Schick &amp; </w:t>
      </w:r>
      <w:proofErr w:type="spellStart"/>
      <w:r w:rsidRPr="00035D04">
        <w:rPr>
          <w:rFonts w:asciiTheme="minorHAnsi" w:eastAsia="Calibri" w:hAnsiTheme="minorHAnsi" w:cs="Calibri"/>
        </w:rPr>
        <w:t>Marklein</w:t>
      </w:r>
      <w:proofErr w:type="spellEnd"/>
      <w:r w:rsidRPr="00035D04">
        <w:rPr>
          <w:rFonts w:asciiTheme="minorHAnsi" w:eastAsia="Calibri" w:hAnsiTheme="minorHAnsi" w:cs="Calibri"/>
        </w:rPr>
        <w:t xml:space="preserve">, 2013).  </w:t>
      </w:r>
      <w:r w:rsidRPr="00035D04">
        <w:rPr>
          <w:rFonts w:asciiTheme="minorHAnsi" w:eastAsia="Calibri" w:hAnsiTheme="minorHAnsi" w:cs="Calibri"/>
        </w:rPr>
        <w:lastRenderedPageBreak/>
        <w:t>However, it is equally as interesting that another third of the class did purchase the textbook and found it helpful and useful to their success in the class.  This is supported by the quantitative data where 34 students indicated that they agreed or strongly agreed that the textbook was important to their success in the class.  Thus, with so many students who did like having a book, it was essential to consider how to replace this with the no cost materials in implementation.  Unfortunately, this data was not available until early January, meaning I was unable to consider this perspective in the online compilation of readings used in Spring 2015.</w:t>
      </w:r>
    </w:p>
    <w:p w14:paraId="7AC99A15" w14:textId="77777777" w:rsidR="00BA4519" w:rsidRPr="00035D04" w:rsidRDefault="00BA4519" w:rsidP="00035D04">
      <w:pPr>
        <w:pStyle w:val="qowt-li-90"/>
        <w:spacing w:before="0" w:beforeAutospacing="0" w:after="0" w:afterAutospacing="0"/>
        <w:rPr>
          <w:rFonts w:asciiTheme="minorHAnsi" w:hAnsiTheme="minorHAnsi"/>
          <w:b/>
        </w:rPr>
      </w:pPr>
    </w:p>
    <w:p w14:paraId="23291B81" w14:textId="77777777" w:rsidR="00BA4519" w:rsidRPr="00035D04" w:rsidRDefault="00BA4519" w:rsidP="00CA7441">
      <w:pPr>
        <w:pStyle w:val="qowt-li-90"/>
        <w:spacing w:before="0" w:beforeAutospacing="0" w:after="0" w:afterAutospacing="0"/>
        <w:ind w:left="720"/>
        <w:rPr>
          <w:rFonts w:asciiTheme="minorHAnsi" w:hAnsiTheme="minorHAnsi"/>
          <w:b/>
        </w:rPr>
      </w:pPr>
    </w:p>
    <w:p w14:paraId="1FFF91BF" w14:textId="77777777" w:rsidR="00300112" w:rsidRPr="00035D04" w:rsidRDefault="00300112" w:rsidP="00CA7441">
      <w:pPr>
        <w:pStyle w:val="qowt-li-90"/>
        <w:spacing w:before="0" w:beforeAutospacing="0" w:after="0" w:afterAutospacing="0"/>
        <w:ind w:left="720"/>
        <w:rPr>
          <w:rFonts w:asciiTheme="minorHAnsi" w:hAnsiTheme="minorHAnsi"/>
        </w:rPr>
      </w:pPr>
      <w:r w:rsidRPr="00035D04">
        <w:rPr>
          <w:rFonts w:asciiTheme="minorHAnsi" w:hAnsiTheme="minorHAnsi"/>
          <w:b/>
        </w:rPr>
        <w:t>Post-Implementation Results</w:t>
      </w:r>
    </w:p>
    <w:p w14:paraId="2A86FDB1" w14:textId="77777777" w:rsidR="00300112" w:rsidRPr="00035D04" w:rsidRDefault="00300112" w:rsidP="00CA7441">
      <w:pPr>
        <w:pStyle w:val="qowt-li-90"/>
        <w:spacing w:before="0" w:beforeAutospacing="0" w:after="0" w:afterAutospacing="0"/>
        <w:ind w:left="720"/>
        <w:rPr>
          <w:rFonts w:asciiTheme="minorHAnsi" w:hAnsiTheme="minorHAnsi"/>
        </w:rPr>
      </w:pPr>
    </w:p>
    <w:p w14:paraId="17BF36B6" w14:textId="3A992378" w:rsidR="00300112" w:rsidRPr="00035D04" w:rsidRDefault="00300112" w:rsidP="00CA7441">
      <w:pPr>
        <w:pStyle w:val="qowt-li-90"/>
        <w:spacing w:before="0" w:beforeAutospacing="0" w:after="0" w:afterAutospacing="0"/>
        <w:ind w:left="720"/>
        <w:rPr>
          <w:rFonts w:asciiTheme="minorHAnsi" w:hAnsiTheme="minorHAnsi"/>
        </w:rPr>
      </w:pPr>
      <w:r w:rsidRPr="00035D04">
        <w:rPr>
          <w:rFonts w:asciiTheme="minorHAnsi" w:hAnsiTheme="minorHAnsi"/>
        </w:rPr>
        <w:t>The no-cost-to-students materials project was implemented in three different course sections of EDUC 2120 at The University of Georgia in Spring 2015.  The course sizes were, 4</w:t>
      </w:r>
      <w:r w:rsidR="004C1F99" w:rsidRPr="00035D04">
        <w:rPr>
          <w:rFonts w:asciiTheme="minorHAnsi" w:hAnsiTheme="minorHAnsi"/>
        </w:rPr>
        <w:t>4, 28, and 27 after three recorded withdrawals</w:t>
      </w:r>
      <w:r w:rsidR="00E86A80" w:rsidRPr="00035D04">
        <w:rPr>
          <w:rFonts w:asciiTheme="minorHAnsi" w:hAnsiTheme="minorHAnsi"/>
        </w:rPr>
        <w:t>, for a total 99 students</w:t>
      </w:r>
      <w:r w:rsidR="004C1F99" w:rsidRPr="00035D04">
        <w:rPr>
          <w:rFonts w:asciiTheme="minorHAnsi" w:hAnsiTheme="minorHAnsi"/>
        </w:rPr>
        <w:t xml:space="preserve">. </w:t>
      </w:r>
    </w:p>
    <w:p w14:paraId="1DA29B91" w14:textId="77777777" w:rsidR="004C1F99" w:rsidRPr="00035D04" w:rsidRDefault="004C1F99" w:rsidP="00CA7441">
      <w:pPr>
        <w:pStyle w:val="qowt-li-90"/>
        <w:spacing w:before="0" w:beforeAutospacing="0" w:after="0" w:afterAutospacing="0"/>
        <w:ind w:left="720"/>
        <w:rPr>
          <w:rFonts w:asciiTheme="minorHAnsi" w:hAnsiTheme="minorHAnsi"/>
        </w:rPr>
      </w:pPr>
    </w:p>
    <w:p w14:paraId="0236CD0A" w14:textId="77017F98" w:rsidR="004C1F99" w:rsidRPr="00035D04" w:rsidRDefault="004C1F99" w:rsidP="00CA7441">
      <w:pPr>
        <w:pStyle w:val="qowt-li-90"/>
        <w:spacing w:before="0" w:beforeAutospacing="0" w:after="0" w:afterAutospacing="0"/>
        <w:ind w:left="720"/>
        <w:rPr>
          <w:rFonts w:asciiTheme="minorHAnsi" w:hAnsiTheme="minorHAnsi"/>
        </w:rPr>
      </w:pPr>
      <w:r w:rsidRPr="00035D04">
        <w:rPr>
          <w:rFonts w:asciiTheme="minorHAnsi" w:hAnsiTheme="minorHAnsi"/>
        </w:rPr>
        <w:t>Both quantitative and qualitative measures were used to evaluate the student responses to this project.  For quantitative measures, the withdrawal and failure rates were calculated, at 2.94% and 0%, respectively.  This did not represent a statistically significant difference from the calculations pre-implementation</w:t>
      </w:r>
      <w:r w:rsidR="004947C7" w:rsidRPr="00035D04">
        <w:rPr>
          <w:rFonts w:asciiTheme="minorHAnsi" w:hAnsiTheme="minorHAnsi"/>
        </w:rPr>
        <w:t xml:space="preserve"> in Fall 2014</w:t>
      </w:r>
      <w:r w:rsidRPr="00035D04">
        <w:rPr>
          <w:rFonts w:asciiTheme="minorHAnsi" w:hAnsiTheme="minorHAnsi"/>
        </w:rPr>
        <w:t>.  Given this is a required course, I would not expect significant variance here</w:t>
      </w:r>
      <w:r w:rsidR="00E86A80" w:rsidRPr="00035D04">
        <w:rPr>
          <w:rFonts w:asciiTheme="minorHAnsi" w:hAnsiTheme="minorHAnsi"/>
        </w:rPr>
        <w:t>; unless a student changes their major, they must receive a grade of C or higher in EDUC 2120 to obtain teacher certification in Georgia and complete an education degree program</w:t>
      </w:r>
      <w:r w:rsidRPr="00035D04">
        <w:rPr>
          <w:rFonts w:asciiTheme="minorHAnsi" w:hAnsiTheme="minorHAnsi"/>
        </w:rPr>
        <w:t xml:space="preserve">. </w:t>
      </w:r>
    </w:p>
    <w:p w14:paraId="0B64B76D" w14:textId="77777777" w:rsidR="004947C7" w:rsidRPr="00035D04" w:rsidRDefault="004947C7" w:rsidP="00CA7441">
      <w:pPr>
        <w:pStyle w:val="qowt-li-90"/>
        <w:spacing w:before="0" w:beforeAutospacing="0" w:after="0" w:afterAutospacing="0"/>
        <w:ind w:left="720"/>
        <w:rPr>
          <w:rFonts w:asciiTheme="minorHAnsi" w:hAnsiTheme="minorHAnsi"/>
        </w:rPr>
      </w:pPr>
    </w:p>
    <w:p w14:paraId="31DD8C52" w14:textId="04837271" w:rsidR="004947C7" w:rsidRPr="00035D04" w:rsidRDefault="004947C7" w:rsidP="00CA7441">
      <w:pPr>
        <w:pStyle w:val="qowt-li-90"/>
        <w:spacing w:before="0" w:beforeAutospacing="0" w:after="0" w:afterAutospacing="0"/>
        <w:ind w:left="720"/>
        <w:rPr>
          <w:rFonts w:asciiTheme="minorHAnsi" w:hAnsiTheme="minorHAnsi"/>
        </w:rPr>
      </w:pPr>
      <w:r w:rsidRPr="00035D04">
        <w:rPr>
          <w:rFonts w:asciiTheme="minorHAnsi" w:hAnsiTheme="minorHAnsi"/>
        </w:rPr>
        <w:t xml:space="preserve">Additionally, three </w:t>
      </w:r>
      <w:proofErr w:type="spellStart"/>
      <w:r w:rsidRPr="00035D04">
        <w:rPr>
          <w:rFonts w:asciiTheme="minorHAnsi" w:hAnsiTheme="minorHAnsi"/>
        </w:rPr>
        <w:t>Likert</w:t>
      </w:r>
      <w:proofErr w:type="spellEnd"/>
      <w:r w:rsidRPr="00035D04">
        <w:rPr>
          <w:rFonts w:asciiTheme="minorHAnsi" w:hAnsiTheme="minorHAnsi"/>
        </w:rPr>
        <w:t>-scale items were included on the final course evaluation</w:t>
      </w:r>
      <w:r w:rsidR="007D5A2D" w:rsidRPr="00035D04">
        <w:rPr>
          <w:rFonts w:asciiTheme="minorHAnsi" w:hAnsiTheme="minorHAnsi"/>
        </w:rPr>
        <w:t xml:space="preserve"> where </w:t>
      </w:r>
      <w:r w:rsidR="00C37155" w:rsidRPr="00035D04">
        <w:rPr>
          <w:rFonts w:asciiTheme="minorHAnsi" w:hAnsiTheme="minorHAnsi"/>
        </w:rPr>
        <w:t>the scale was as follows:  strongly disagree = 1, disagree = 2, neutral = 3, agree = 4, and strongly agree = 5</w:t>
      </w:r>
      <w:r w:rsidRPr="00035D04">
        <w:rPr>
          <w:rFonts w:asciiTheme="minorHAnsi" w:hAnsiTheme="minorHAnsi"/>
        </w:rPr>
        <w:t>. Two sections of the course had 100% participation in the survey, while the other section had 93% participation.  This means 97 out of 99 students completed the survey. The specific items stated, “</w:t>
      </w:r>
      <w:r w:rsidRPr="00035D04">
        <w:rPr>
          <w:rFonts w:asciiTheme="minorHAnsi" w:hAnsiTheme="minorHAnsi"/>
          <w:i/>
        </w:rPr>
        <w:t>I would have been more successful in this clas</w:t>
      </w:r>
      <w:r w:rsidR="00567970" w:rsidRPr="00035D04">
        <w:rPr>
          <w:rFonts w:asciiTheme="minorHAnsi" w:hAnsiTheme="minorHAnsi"/>
          <w:i/>
        </w:rPr>
        <w:t>s with a traditional textbook</w:t>
      </w:r>
      <w:r w:rsidR="00567970" w:rsidRPr="00035D04">
        <w:rPr>
          <w:rFonts w:asciiTheme="minorHAnsi" w:hAnsiTheme="minorHAnsi"/>
        </w:rPr>
        <w:t>;”</w:t>
      </w:r>
      <w:r w:rsidRPr="00035D04">
        <w:rPr>
          <w:rFonts w:asciiTheme="minorHAnsi" w:hAnsiTheme="minorHAnsi"/>
        </w:rPr>
        <w:t xml:space="preserve"> “</w:t>
      </w:r>
      <w:r w:rsidRPr="00035D04">
        <w:rPr>
          <w:rFonts w:asciiTheme="minorHAnsi" w:hAnsiTheme="minorHAnsi"/>
          <w:i/>
        </w:rPr>
        <w:t>Online readings were import</w:t>
      </w:r>
      <w:r w:rsidR="00567970" w:rsidRPr="00035D04">
        <w:rPr>
          <w:rFonts w:asciiTheme="minorHAnsi" w:hAnsiTheme="minorHAnsi"/>
          <w:i/>
        </w:rPr>
        <w:t>ant to my success in this class</w:t>
      </w:r>
      <w:r w:rsidR="00567970" w:rsidRPr="00035D04">
        <w:rPr>
          <w:rFonts w:asciiTheme="minorHAnsi" w:hAnsiTheme="minorHAnsi"/>
        </w:rPr>
        <w:t>;</w:t>
      </w:r>
      <w:r w:rsidRPr="00035D04">
        <w:rPr>
          <w:rFonts w:asciiTheme="minorHAnsi" w:hAnsiTheme="minorHAnsi"/>
        </w:rPr>
        <w:t>” and</w:t>
      </w:r>
      <w:r w:rsidR="00567970" w:rsidRPr="00035D04">
        <w:rPr>
          <w:rFonts w:asciiTheme="minorHAnsi" w:hAnsiTheme="minorHAnsi"/>
        </w:rPr>
        <w:t>,</w:t>
      </w:r>
      <w:r w:rsidRPr="00035D04">
        <w:rPr>
          <w:rFonts w:asciiTheme="minorHAnsi" w:hAnsiTheme="minorHAnsi"/>
        </w:rPr>
        <w:t xml:space="preserve"> “</w:t>
      </w:r>
      <w:r w:rsidRPr="00035D04">
        <w:rPr>
          <w:rFonts w:asciiTheme="minorHAnsi" w:hAnsiTheme="minorHAnsi"/>
          <w:i/>
        </w:rPr>
        <w:t>The course reading materials were helpful and engaging</w:t>
      </w:r>
      <w:r w:rsidRPr="00035D04">
        <w:rPr>
          <w:rFonts w:asciiTheme="minorHAnsi" w:hAnsiTheme="minorHAnsi"/>
        </w:rPr>
        <w:t>.”</w:t>
      </w:r>
    </w:p>
    <w:p w14:paraId="46ADDC2D" w14:textId="77777777" w:rsidR="007D5A2D" w:rsidRPr="00035D04" w:rsidRDefault="007D5A2D" w:rsidP="00CA7441">
      <w:pPr>
        <w:pStyle w:val="qowt-li-90"/>
        <w:spacing w:before="0" w:beforeAutospacing="0" w:after="0" w:afterAutospacing="0"/>
        <w:ind w:left="720"/>
        <w:rPr>
          <w:rFonts w:asciiTheme="minorHAnsi" w:hAnsiTheme="minorHAnsi"/>
        </w:rPr>
      </w:pPr>
    </w:p>
    <w:p w14:paraId="16E47893" w14:textId="74FCE0AE" w:rsidR="007D5A2D" w:rsidRPr="00035D04" w:rsidRDefault="00880F0F" w:rsidP="00CA7441">
      <w:pPr>
        <w:pStyle w:val="qowt-li-90"/>
        <w:spacing w:before="0" w:beforeAutospacing="0" w:after="0" w:afterAutospacing="0"/>
        <w:ind w:left="720"/>
        <w:rPr>
          <w:rFonts w:asciiTheme="minorHAnsi" w:hAnsiTheme="minorHAnsi"/>
        </w:rPr>
      </w:pPr>
      <w:r w:rsidRPr="00035D04">
        <w:rPr>
          <w:rFonts w:asciiTheme="minorHAnsi" w:hAnsiTheme="minorHAnsi"/>
        </w:rPr>
        <w:t>T</w:t>
      </w:r>
      <w:r w:rsidR="007D5A2D" w:rsidRPr="00035D04">
        <w:rPr>
          <w:rFonts w:asciiTheme="minorHAnsi" w:hAnsiTheme="minorHAnsi"/>
        </w:rPr>
        <w:t xml:space="preserve">he first </w:t>
      </w:r>
      <w:r w:rsidRPr="00035D04">
        <w:rPr>
          <w:rFonts w:asciiTheme="minorHAnsi" w:hAnsiTheme="minorHAnsi"/>
        </w:rPr>
        <w:t>item</w:t>
      </w:r>
      <w:r w:rsidR="007D5A2D" w:rsidRPr="00035D04">
        <w:rPr>
          <w:rFonts w:asciiTheme="minorHAnsi" w:hAnsiTheme="minorHAnsi"/>
        </w:rPr>
        <w:t>, “</w:t>
      </w:r>
      <w:r w:rsidR="007D5A2D" w:rsidRPr="00035D04">
        <w:rPr>
          <w:rFonts w:asciiTheme="minorHAnsi" w:hAnsiTheme="minorHAnsi"/>
          <w:i/>
        </w:rPr>
        <w:t>I would have been more successful in this class with a traditional textbook</w:t>
      </w:r>
      <w:r w:rsidR="007D5A2D" w:rsidRPr="00035D04">
        <w:rPr>
          <w:rFonts w:asciiTheme="minorHAnsi" w:hAnsiTheme="minorHAnsi"/>
        </w:rPr>
        <w:t xml:space="preserve">,” </w:t>
      </w:r>
      <w:r w:rsidR="00C37155" w:rsidRPr="00035D04">
        <w:rPr>
          <w:rFonts w:asciiTheme="minorHAnsi" w:hAnsiTheme="minorHAnsi"/>
        </w:rPr>
        <w:t xml:space="preserve">had a mean score of 2.16 and a median score of 1, meaning the majority of students felt that a traditional textbook would not have helped them to be more successful in the course. </w:t>
      </w:r>
      <w:r w:rsidR="000F5415" w:rsidRPr="00035D04">
        <w:rPr>
          <w:rFonts w:asciiTheme="minorHAnsi" w:hAnsiTheme="minorHAnsi"/>
        </w:rPr>
        <w:t xml:space="preserve"> However, 18 students (18.56%) strongly agreed with this. Given the results of the pre-implementation survey, there does appear to be a group of students who really utilize and appreciate having something for expansion on course topics and as an additional resource.</w:t>
      </w:r>
    </w:p>
    <w:p w14:paraId="44AE39EE" w14:textId="77777777" w:rsidR="00880F0F" w:rsidRPr="00035D04" w:rsidRDefault="00880F0F" w:rsidP="00CA7441">
      <w:pPr>
        <w:pStyle w:val="qowt-li-90"/>
        <w:spacing w:before="0" w:beforeAutospacing="0" w:after="0" w:afterAutospacing="0"/>
        <w:ind w:left="720"/>
        <w:rPr>
          <w:rFonts w:asciiTheme="minorHAnsi" w:hAnsiTheme="minorHAnsi"/>
        </w:rPr>
      </w:pPr>
    </w:p>
    <w:p w14:paraId="502D5903" w14:textId="2C7DCBEB" w:rsidR="00880F0F" w:rsidRPr="00035D04" w:rsidRDefault="00880F0F" w:rsidP="00880F0F">
      <w:pPr>
        <w:pStyle w:val="qowt-li-90"/>
        <w:spacing w:before="0" w:beforeAutospacing="0" w:after="0" w:afterAutospacing="0"/>
        <w:ind w:left="720"/>
        <w:rPr>
          <w:rFonts w:asciiTheme="minorHAnsi" w:hAnsiTheme="minorHAnsi"/>
        </w:rPr>
      </w:pPr>
      <w:r w:rsidRPr="00035D04">
        <w:rPr>
          <w:rFonts w:asciiTheme="minorHAnsi" w:hAnsiTheme="minorHAnsi"/>
        </w:rPr>
        <w:t>The second item stated, “</w:t>
      </w:r>
      <w:r w:rsidRPr="00035D04">
        <w:rPr>
          <w:rFonts w:asciiTheme="minorHAnsi" w:hAnsiTheme="minorHAnsi"/>
          <w:i/>
        </w:rPr>
        <w:t>Online readings were important to my success in this class,</w:t>
      </w:r>
      <w:r w:rsidRPr="00035D04">
        <w:rPr>
          <w:rFonts w:asciiTheme="minorHAnsi" w:hAnsiTheme="minorHAnsi"/>
        </w:rPr>
        <w:t>” and had a mean score of 4.25 and a median of 4 (agree).  Very few (n = 5) disagreed with this statement. The last item stated, “</w:t>
      </w:r>
      <w:r w:rsidRPr="00035D04">
        <w:rPr>
          <w:rFonts w:asciiTheme="minorHAnsi" w:hAnsiTheme="minorHAnsi"/>
          <w:i/>
        </w:rPr>
        <w:t>The course reading materials were helpful and engaging</w:t>
      </w:r>
      <w:r w:rsidRPr="00035D04">
        <w:rPr>
          <w:rFonts w:asciiTheme="minorHAnsi" w:hAnsiTheme="minorHAnsi"/>
        </w:rPr>
        <w:t xml:space="preserve">.” This item had the highest and most positive student response with a mean </w:t>
      </w:r>
      <w:r w:rsidRPr="00035D04">
        <w:rPr>
          <w:rFonts w:asciiTheme="minorHAnsi" w:hAnsiTheme="minorHAnsi"/>
        </w:rPr>
        <w:lastRenderedPageBreak/>
        <w:t>of 4.39 and median of 5 (strongly agree).  This is further supported by the evidence from the qualitative measures described below where over 88% of students reported the course readings were helpful and important to their course success.  This provides an interesting contrast to the textbook only students from Fall 2014 where similar statements only had means of 2.87 and 2.92.</w:t>
      </w:r>
    </w:p>
    <w:p w14:paraId="5623E316" w14:textId="77777777" w:rsidR="00300112" w:rsidRPr="00035D04" w:rsidRDefault="00300112" w:rsidP="00880F0F">
      <w:pPr>
        <w:pStyle w:val="qowt-li-90"/>
        <w:spacing w:before="0" w:beforeAutospacing="0" w:after="0" w:afterAutospacing="0"/>
        <w:rPr>
          <w:rFonts w:asciiTheme="minorHAnsi" w:hAnsiTheme="minorHAnsi"/>
        </w:rPr>
      </w:pPr>
    </w:p>
    <w:p w14:paraId="39CBA975" w14:textId="28E6C023" w:rsidR="005D4C57" w:rsidRPr="00035D04" w:rsidRDefault="005D4C57" w:rsidP="00CA7441">
      <w:pPr>
        <w:pStyle w:val="qowt-li-90"/>
        <w:spacing w:before="0" w:beforeAutospacing="0" w:after="0" w:afterAutospacing="0"/>
        <w:ind w:left="720"/>
        <w:rPr>
          <w:rFonts w:asciiTheme="minorHAnsi" w:hAnsiTheme="minorHAnsi"/>
        </w:rPr>
      </w:pPr>
      <w:r w:rsidRPr="00035D04">
        <w:rPr>
          <w:rFonts w:asciiTheme="minorHAnsi" w:hAnsiTheme="minorHAnsi"/>
        </w:rPr>
        <w:t xml:space="preserve">In order </w:t>
      </w:r>
      <w:r w:rsidR="00300112" w:rsidRPr="00035D04">
        <w:rPr>
          <w:rFonts w:asciiTheme="minorHAnsi" w:hAnsiTheme="minorHAnsi"/>
        </w:rPr>
        <w:t xml:space="preserve">to </w:t>
      </w:r>
      <w:r w:rsidRPr="00035D04">
        <w:rPr>
          <w:rFonts w:asciiTheme="minorHAnsi" w:hAnsiTheme="minorHAnsi"/>
        </w:rPr>
        <w:t>understand student experiences in more detail during implementation, an open-ended survey question was used.  The question read, “</w:t>
      </w:r>
      <w:r w:rsidRPr="00035D04">
        <w:rPr>
          <w:rFonts w:asciiTheme="minorHAnsi" w:hAnsiTheme="minorHAnsi"/>
          <w:i/>
        </w:rPr>
        <w:t xml:space="preserve">Please provide feedback on your use and evaluation of the </w:t>
      </w:r>
      <w:r w:rsidR="007D5A2D" w:rsidRPr="00035D04">
        <w:rPr>
          <w:rFonts w:asciiTheme="minorHAnsi" w:hAnsiTheme="minorHAnsi"/>
          <w:i/>
        </w:rPr>
        <w:t xml:space="preserve">online </w:t>
      </w:r>
      <w:r w:rsidRPr="00035D04">
        <w:rPr>
          <w:rFonts w:asciiTheme="minorHAnsi" w:hAnsiTheme="minorHAnsi"/>
          <w:i/>
        </w:rPr>
        <w:t>course reading materials</w:t>
      </w:r>
      <w:r w:rsidRPr="00035D04">
        <w:rPr>
          <w:rFonts w:asciiTheme="minorHAnsi" w:hAnsiTheme="minorHAnsi"/>
        </w:rPr>
        <w:t xml:space="preserve">.” Of those, 85 students responded to this specific question.  </w:t>
      </w:r>
      <w:r w:rsidR="00B32B22" w:rsidRPr="00035D04">
        <w:rPr>
          <w:rFonts w:asciiTheme="minorHAnsi" w:hAnsiTheme="minorHAnsi"/>
        </w:rPr>
        <w:t xml:space="preserve">Responses were coded and analyzed to uncover common themes to provide additional insight to the quantitative results. </w:t>
      </w:r>
      <w:r w:rsidRPr="00035D04">
        <w:rPr>
          <w:rFonts w:asciiTheme="minorHAnsi" w:hAnsiTheme="minorHAnsi"/>
        </w:rPr>
        <w:t>The responses fel</w:t>
      </w:r>
      <w:r w:rsidR="0040249B" w:rsidRPr="00035D04">
        <w:rPr>
          <w:rFonts w:asciiTheme="minorHAnsi" w:hAnsiTheme="minorHAnsi"/>
        </w:rPr>
        <w:t xml:space="preserve">l into </w:t>
      </w:r>
      <w:r w:rsidR="00BB29D2" w:rsidRPr="00035D04">
        <w:rPr>
          <w:rFonts w:asciiTheme="minorHAnsi" w:hAnsiTheme="minorHAnsi"/>
        </w:rPr>
        <w:t>six</w:t>
      </w:r>
      <w:r w:rsidR="0040249B" w:rsidRPr="00035D04">
        <w:rPr>
          <w:rFonts w:asciiTheme="minorHAnsi" w:hAnsiTheme="minorHAnsi"/>
        </w:rPr>
        <w:t xml:space="preserve"> major themes: (1) students appreciated the cost savings of the implementation, (2) students appreciated the accessibility of materials, i.e. always available online versus only when you have the book with you, (3) students appreciated the relevancy of the selected readings and variety of authors, (4) students overall found the online readings helpful and beneficial to them in the course, (5) students disliked </w:t>
      </w:r>
      <w:r w:rsidR="00BB29D2" w:rsidRPr="00035D04">
        <w:rPr>
          <w:rFonts w:asciiTheme="minorHAnsi" w:hAnsiTheme="minorHAnsi"/>
        </w:rPr>
        <w:t>readings in general, and (6) students disliked the online readings specifically</w:t>
      </w:r>
      <w:r w:rsidR="0040249B" w:rsidRPr="00035D04">
        <w:rPr>
          <w:rFonts w:asciiTheme="minorHAnsi" w:hAnsiTheme="minorHAnsi"/>
        </w:rPr>
        <w:t>.</w:t>
      </w:r>
      <w:r w:rsidR="007A35BF" w:rsidRPr="00035D04">
        <w:rPr>
          <w:rFonts w:asciiTheme="minorHAnsi" w:hAnsiTheme="minorHAnsi"/>
        </w:rPr>
        <w:t xml:space="preserve"> A summary of these findings is presented in the table below.</w:t>
      </w:r>
    </w:p>
    <w:p w14:paraId="5530C339" w14:textId="77777777" w:rsidR="007A35BF" w:rsidRPr="00035D04" w:rsidRDefault="007A35BF" w:rsidP="00CA7441">
      <w:pPr>
        <w:pStyle w:val="qowt-li-90"/>
        <w:spacing w:before="0" w:beforeAutospacing="0" w:after="0" w:afterAutospacing="0"/>
        <w:ind w:left="720"/>
        <w:rPr>
          <w:rFonts w:asciiTheme="minorHAnsi" w:hAnsiTheme="minorHAnsi"/>
        </w:rPr>
      </w:pPr>
    </w:p>
    <w:p w14:paraId="71BC89BA" w14:textId="3BED22CF" w:rsidR="007D5A2D" w:rsidRPr="00035D04" w:rsidRDefault="00F70BD3" w:rsidP="007D5A2D">
      <w:pPr>
        <w:rPr>
          <w:i/>
          <w:sz w:val="24"/>
          <w:szCs w:val="24"/>
        </w:rPr>
      </w:pPr>
      <w:r w:rsidRPr="00035D04">
        <w:rPr>
          <w:i/>
          <w:sz w:val="24"/>
          <w:szCs w:val="24"/>
        </w:rPr>
        <w:t xml:space="preserve">Table 2.  </w:t>
      </w:r>
      <w:r w:rsidR="007D5A2D" w:rsidRPr="00035D04">
        <w:rPr>
          <w:i/>
          <w:sz w:val="24"/>
          <w:szCs w:val="24"/>
        </w:rPr>
        <w:t>Student Feedback Themes on Online Course Reading Materials</w:t>
      </w:r>
    </w:p>
    <w:tbl>
      <w:tblPr>
        <w:tblStyle w:val="TableGrid"/>
        <w:tblW w:w="0" w:type="auto"/>
        <w:tblInd w:w="648" w:type="dxa"/>
        <w:tblLook w:val="04A0" w:firstRow="1" w:lastRow="0" w:firstColumn="1" w:lastColumn="0" w:noHBand="0" w:noVBand="1"/>
      </w:tblPr>
      <w:tblGrid>
        <w:gridCol w:w="3780"/>
        <w:gridCol w:w="2250"/>
        <w:gridCol w:w="2790"/>
      </w:tblGrid>
      <w:tr w:rsidR="007D5A2D" w:rsidRPr="00035D04" w14:paraId="2B0083A0" w14:textId="572577CA" w:rsidTr="0099304D">
        <w:tc>
          <w:tcPr>
            <w:tcW w:w="3780" w:type="dxa"/>
            <w:shd w:val="clear" w:color="auto" w:fill="BFBFBF" w:themeFill="background1" w:themeFillShade="BF"/>
          </w:tcPr>
          <w:p w14:paraId="68FCA12D" w14:textId="65BA5D64" w:rsidR="007D5A2D" w:rsidRPr="00035D04" w:rsidRDefault="007D5A2D" w:rsidP="007D5A2D">
            <w:pPr>
              <w:ind w:left="72"/>
              <w:rPr>
                <w:b/>
                <w:sz w:val="24"/>
                <w:szCs w:val="24"/>
              </w:rPr>
            </w:pPr>
            <w:r w:rsidRPr="00035D04">
              <w:rPr>
                <w:b/>
                <w:sz w:val="24"/>
                <w:szCs w:val="24"/>
              </w:rPr>
              <w:t>Theme</w:t>
            </w:r>
          </w:p>
        </w:tc>
        <w:tc>
          <w:tcPr>
            <w:tcW w:w="2250" w:type="dxa"/>
            <w:shd w:val="clear" w:color="auto" w:fill="BFBFBF" w:themeFill="background1" w:themeFillShade="BF"/>
          </w:tcPr>
          <w:p w14:paraId="3EC017E2" w14:textId="54E03489" w:rsidR="007D5A2D" w:rsidRPr="00035D04" w:rsidRDefault="007D5A2D" w:rsidP="007D5A2D">
            <w:pPr>
              <w:rPr>
                <w:b/>
                <w:sz w:val="24"/>
                <w:szCs w:val="24"/>
              </w:rPr>
            </w:pPr>
            <w:r w:rsidRPr="00035D04">
              <w:rPr>
                <w:b/>
                <w:sz w:val="24"/>
                <w:szCs w:val="24"/>
              </w:rPr>
              <w:t>Number of Responses</w:t>
            </w:r>
          </w:p>
        </w:tc>
        <w:tc>
          <w:tcPr>
            <w:tcW w:w="2790" w:type="dxa"/>
            <w:shd w:val="clear" w:color="auto" w:fill="BFBFBF" w:themeFill="background1" w:themeFillShade="BF"/>
          </w:tcPr>
          <w:p w14:paraId="5371684F" w14:textId="384C4D07" w:rsidR="007D5A2D" w:rsidRPr="00035D04" w:rsidRDefault="007D5A2D" w:rsidP="007D5A2D">
            <w:pPr>
              <w:rPr>
                <w:b/>
                <w:sz w:val="24"/>
                <w:szCs w:val="24"/>
              </w:rPr>
            </w:pPr>
            <w:r w:rsidRPr="00035D04">
              <w:rPr>
                <w:b/>
                <w:sz w:val="24"/>
                <w:szCs w:val="24"/>
              </w:rPr>
              <w:t>Percentage of Respondents</w:t>
            </w:r>
          </w:p>
        </w:tc>
      </w:tr>
      <w:tr w:rsidR="007D5A2D" w:rsidRPr="00035D04" w14:paraId="6EA71F7E" w14:textId="40BB7611" w:rsidTr="0099304D">
        <w:tc>
          <w:tcPr>
            <w:tcW w:w="3780" w:type="dxa"/>
          </w:tcPr>
          <w:p w14:paraId="4DC66CD6" w14:textId="7190A807" w:rsidR="007D5A2D" w:rsidRPr="00035D04" w:rsidRDefault="007D5A2D" w:rsidP="007D5A2D">
            <w:pPr>
              <w:rPr>
                <w:sz w:val="24"/>
                <w:szCs w:val="24"/>
              </w:rPr>
            </w:pPr>
            <w:r w:rsidRPr="00035D04">
              <w:rPr>
                <w:sz w:val="24"/>
                <w:szCs w:val="24"/>
              </w:rPr>
              <w:t>Cost savings</w:t>
            </w:r>
          </w:p>
        </w:tc>
        <w:tc>
          <w:tcPr>
            <w:tcW w:w="2250" w:type="dxa"/>
          </w:tcPr>
          <w:p w14:paraId="504A342B" w14:textId="3B1C99F4" w:rsidR="007D5A2D" w:rsidRPr="00035D04" w:rsidRDefault="007D5A2D" w:rsidP="007D5A2D">
            <w:pPr>
              <w:jc w:val="center"/>
              <w:rPr>
                <w:sz w:val="24"/>
                <w:szCs w:val="24"/>
              </w:rPr>
            </w:pPr>
            <w:r w:rsidRPr="00035D04">
              <w:rPr>
                <w:sz w:val="24"/>
                <w:szCs w:val="24"/>
              </w:rPr>
              <w:t>15</w:t>
            </w:r>
          </w:p>
        </w:tc>
        <w:tc>
          <w:tcPr>
            <w:tcW w:w="2790" w:type="dxa"/>
          </w:tcPr>
          <w:p w14:paraId="72AD3C12" w14:textId="31439A1F" w:rsidR="007D5A2D" w:rsidRPr="00035D04" w:rsidRDefault="007D5A2D" w:rsidP="007D5A2D">
            <w:pPr>
              <w:jc w:val="center"/>
              <w:rPr>
                <w:sz w:val="24"/>
                <w:szCs w:val="24"/>
              </w:rPr>
            </w:pPr>
            <w:r w:rsidRPr="00035D04">
              <w:rPr>
                <w:sz w:val="24"/>
                <w:szCs w:val="24"/>
              </w:rPr>
              <w:t>17.65%</w:t>
            </w:r>
          </w:p>
        </w:tc>
      </w:tr>
      <w:tr w:rsidR="007D5A2D" w:rsidRPr="00035D04" w14:paraId="55410FBF" w14:textId="7AE66CD5" w:rsidTr="0099304D">
        <w:tc>
          <w:tcPr>
            <w:tcW w:w="3780" w:type="dxa"/>
          </w:tcPr>
          <w:p w14:paraId="1C700B94" w14:textId="79BA5388" w:rsidR="007D5A2D" w:rsidRPr="00035D04" w:rsidRDefault="007D5A2D" w:rsidP="007D5A2D">
            <w:pPr>
              <w:rPr>
                <w:sz w:val="24"/>
                <w:szCs w:val="24"/>
              </w:rPr>
            </w:pPr>
            <w:r w:rsidRPr="00035D04">
              <w:rPr>
                <w:sz w:val="24"/>
                <w:szCs w:val="24"/>
              </w:rPr>
              <w:t>Accessibility/online anytime</w:t>
            </w:r>
          </w:p>
        </w:tc>
        <w:tc>
          <w:tcPr>
            <w:tcW w:w="2250" w:type="dxa"/>
          </w:tcPr>
          <w:p w14:paraId="1178E856" w14:textId="7E3DCE9A" w:rsidR="007D5A2D" w:rsidRPr="00035D04" w:rsidRDefault="007D5A2D" w:rsidP="007D5A2D">
            <w:pPr>
              <w:jc w:val="center"/>
              <w:rPr>
                <w:sz w:val="24"/>
                <w:szCs w:val="24"/>
              </w:rPr>
            </w:pPr>
            <w:r w:rsidRPr="00035D04">
              <w:rPr>
                <w:sz w:val="24"/>
                <w:szCs w:val="24"/>
              </w:rPr>
              <w:t>6</w:t>
            </w:r>
          </w:p>
        </w:tc>
        <w:tc>
          <w:tcPr>
            <w:tcW w:w="2790" w:type="dxa"/>
          </w:tcPr>
          <w:p w14:paraId="74EA0F9A" w14:textId="097C736D" w:rsidR="007D5A2D" w:rsidRPr="00035D04" w:rsidRDefault="007D5A2D" w:rsidP="007D5A2D">
            <w:pPr>
              <w:jc w:val="center"/>
              <w:rPr>
                <w:sz w:val="24"/>
                <w:szCs w:val="24"/>
              </w:rPr>
            </w:pPr>
            <w:r w:rsidRPr="00035D04">
              <w:rPr>
                <w:sz w:val="24"/>
                <w:szCs w:val="24"/>
              </w:rPr>
              <w:t>7.06%</w:t>
            </w:r>
          </w:p>
        </w:tc>
      </w:tr>
      <w:tr w:rsidR="007D5A2D" w:rsidRPr="00035D04" w14:paraId="6BCA5EFB" w14:textId="52657A42" w:rsidTr="0099304D">
        <w:tc>
          <w:tcPr>
            <w:tcW w:w="3780" w:type="dxa"/>
          </w:tcPr>
          <w:p w14:paraId="3C05E2B6" w14:textId="784E30A9" w:rsidR="007D5A2D" w:rsidRPr="00035D04" w:rsidRDefault="007D5A2D" w:rsidP="007D5A2D">
            <w:pPr>
              <w:rPr>
                <w:sz w:val="24"/>
                <w:szCs w:val="24"/>
              </w:rPr>
            </w:pPr>
            <w:r w:rsidRPr="00035D04">
              <w:rPr>
                <w:sz w:val="24"/>
                <w:szCs w:val="24"/>
              </w:rPr>
              <w:t>Relevancy/diversity of perspectives</w:t>
            </w:r>
          </w:p>
        </w:tc>
        <w:tc>
          <w:tcPr>
            <w:tcW w:w="2250" w:type="dxa"/>
          </w:tcPr>
          <w:p w14:paraId="48D72F2B" w14:textId="45AE0F83" w:rsidR="007D5A2D" w:rsidRPr="00035D04" w:rsidRDefault="007D5A2D" w:rsidP="007D5A2D">
            <w:pPr>
              <w:jc w:val="center"/>
              <w:rPr>
                <w:sz w:val="24"/>
                <w:szCs w:val="24"/>
              </w:rPr>
            </w:pPr>
            <w:r w:rsidRPr="00035D04">
              <w:rPr>
                <w:sz w:val="24"/>
                <w:szCs w:val="24"/>
              </w:rPr>
              <w:t>30</w:t>
            </w:r>
          </w:p>
        </w:tc>
        <w:tc>
          <w:tcPr>
            <w:tcW w:w="2790" w:type="dxa"/>
          </w:tcPr>
          <w:p w14:paraId="1A1024CC" w14:textId="0664E01D" w:rsidR="007D5A2D" w:rsidRPr="00035D04" w:rsidRDefault="007D5A2D" w:rsidP="007D5A2D">
            <w:pPr>
              <w:jc w:val="center"/>
              <w:rPr>
                <w:sz w:val="24"/>
                <w:szCs w:val="24"/>
              </w:rPr>
            </w:pPr>
            <w:r w:rsidRPr="00035D04">
              <w:rPr>
                <w:sz w:val="24"/>
                <w:szCs w:val="24"/>
              </w:rPr>
              <w:t>35.30%</w:t>
            </w:r>
          </w:p>
        </w:tc>
      </w:tr>
      <w:tr w:rsidR="007D5A2D" w:rsidRPr="00035D04" w14:paraId="71431140" w14:textId="78607262" w:rsidTr="0099304D">
        <w:tc>
          <w:tcPr>
            <w:tcW w:w="3780" w:type="dxa"/>
          </w:tcPr>
          <w:p w14:paraId="4DAAA830" w14:textId="25302D9C" w:rsidR="007D5A2D" w:rsidRPr="00035D04" w:rsidRDefault="007D5A2D" w:rsidP="007D5A2D">
            <w:pPr>
              <w:rPr>
                <w:sz w:val="24"/>
                <w:szCs w:val="24"/>
              </w:rPr>
            </w:pPr>
            <w:r w:rsidRPr="00035D04">
              <w:rPr>
                <w:sz w:val="24"/>
                <w:szCs w:val="24"/>
              </w:rPr>
              <w:t>Overall helpful and/or beneficial</w:t>
            </w:r>
          </w:p>
        </w:tc>
        <w:tc>
          <w:tcPr>
            <w:tcW w:w="2250" w:type="dxa"/>
          </w:tcPr>
          <w:p w14:paraId="270324A9" w14:textId="2FCEE4CC" w:rsidR="007D5A2D" w:rsidRPr="00035D04" w:rsidRDefault="007D5A2D" w:rsidP="007D5A2D">
            <w:pPr>
              <w:jc w:val="center"/>
              <w:rPr>
                <w:sz w:val="24"/>
                <w:szCs w:val="24"/>
              </w:rPr>
            </w:pPr>
            <w:r w:rsidRPr="00035D04">
              <w:rPr>
                <w:sz w:val="24"/>
                <w:szCs w:val="24"/>
              </w:rPr>
              <w:t>75</w:t>
            </w:r>
          </w:p>
        </w:tc>
        <w:tc>
          <w:tcPr>
            <w:tcW w:w="2790" w:type="dxa"/>
          </w:tcPr>
          <w:p w14:paraId="2711165C" w14:textId="66F65EE5" w:rsidR="007D5A2D" w:rsidRPr="00035D04" w:rsidRDefault="007D5A2D" w:rsidP="007D5A2D">
            <w:pPr>
              <w:jc w:val="center"/>
              <w:rPr>
                <w:sz w:val="24"/>
                <w:szCs w:val="24"/>
              </w:rPr>
            </w:pPr>
            <w:r w:rsidRPr="00035D04">
              <w:rPr>
                <w:sz w:val="24"/>
                <w:szCs w:val="24"/>
              </w:rPr>
              <w:t>88.24%</w:t>
            </w:r>
          </w:p>
        </w:tc>
      </w:tr>
      <w:tr w:rsidR="007D5A2D" w:rsidRPr="00035D04" w14:paraId="1D7ABE2A" w14:textId="55938B88" w:rsidTr="0099304D">
        <w:tc>
          <w:tcPr>
            <w:tcW w:w="3780" w:type="dxa"/>
          </w:tcPr>
          <w:p w14:paraId="34F9C308" w14:textId="2C1A9AFC" w:rsidR="007D5A2D" w:rsidRPr="00035D04" w:rsidRDefault="007D5A2D" w:rsidP="007D5A2D">
            <w:pPr>
              <w:rPr>
                <w:sz w:val="24"/>
                <w:szCs w:val="24"/>
              </w:rPr>
            </w:pPr>
            <w:r w:rsidRPr="00035D04">
              <w:rPr>
                <w:sz w:val="24"/>
                <w:szCs w:val="24"/>
              </w:rPr>
              <w:t>Dislike course readings in general</w:t>
            </w:r>
          </w:p>
        </w:tc>
        <w:tc>
          <w:tcPr>
            <w:tcW w:w="2250" w:type="dxa"/>
          </w:tcPr>
          <w:p w14:paraId="6CBBCA44" w14:textId="4F5C01EC" w:rsidR="007D5A2D" w:rsidRPr="00035D04" w:rsidRDefault="007D5A2D" w:rsidP="007D5A2D">
            <w:pPr>
              <w:jc w:val="center"/>
              <w:rPr>
                <w:sz w:val="24"/>
                <w:szCs w:val="24"/>
              </w:rPr>
            </w:pPr>
            <w:r w:rsidRPr="00035D04">
              <w:rPr>
                <w:sz w:val="24"/>
                <w:szCs w:val="24"/>
              </w:rPr>
              <w:t>5</w:t>
            </w:r>
          </w:p>
        </w:tc>
        <w:tc>
          <w:tcPr>
            <w:tcW w:w="2790" w:type="dxa"/>
          </w:tcPr>
          <w:p w14:paraId="185CBE85" w14:textId="14A37766" w:rsidR="007D5A2D" w:rsidRPr="00035D04" w:rsidRDefault="007D5A2D" w:rsidP="007D5A2D">
            <w:pPr>
              <w:jc w:val="center"/>
              <w:rPr>
                <w:sz w:val="24"/>
                <w:szCs w:val="24"/>
              </w:rPr>
            </w:pPr>
            <w:r w:rsidRPr="00035D04">
              <w:rPr>
                <w:sz w:val="24"/>
                <w:szCs w:val="24"/>
              </w:rPr>
              <w:t>5.88%</w:t>
            </w:r>
          </w:p>
        </w:tc>
      </w:tr>
      <w:tr w:rsidR="007D5A2D" w:rsidRPr="00035D04" w14:paraId="12714054" w14:textId="3905AD30" w:rsidTr="0099304D">
        <w:tc>
          <w:tcPr>
            <w:tcW w:w="3780" w:type="dxa"/>
          </w:tcPr>
          <w:p w14:paraId="08DE2136" w14:textId="259631DC" w:rsidR="007D5A2D" w:rsidRPr="00035D04" w:rsidRDefault="007D5A2D" w:rsidP="007D5A2D">
            <w:pPr>
              <w:rPr>
                <w:sz w:val="24"/>
                <w:szCs w:val="24"/>
              </w:rPr>
            </w:pPr>
            <w:r w:rsidRPr="00035D04">
              <w:rPr>
                <w:sz w:val="24"/>
                <w:szCs w:val="24"/>
              </w:rPr>
              <w:t>Dislike online readings</w:t>
            </w:r>
          </w:p>
        </w:tc>
        <w:tc>
          <w:tcPr>
            <w:tcW w:w="2250" w:type="dxa"/>
          </w:tcPr>
          <w:p w14:paraId="4CACC0D3" w14:textId="189BEF9A" w:rsidR="007D5A2D" w:rsidRPr="00035D04" w:rsidRDefault="007D5A2D" w:rsidP="007D5A2D">
            <w:pPr>
              <w:jc w:val="center"/>
              <w:rPr>
                <w:sz w:val="24"/>
                <w:szCs w:val="24"/>
              </w:rPr>
            </w:pPr>
            <w:r w:rsidRPr="00035D04">
              <w:rPr>
                <w:sz w:val="24"/>
                <w:szCs w:val="24"/>
              </w:rPr>
              <w:t>5</w:t>
            </w:r>
          </w:p>
        </w:tc>
        <w:tc>
          <w:tcPr>
            <w:tcW w:w="2790" w:type="dxa"/>
          </w:tcPr>
          <w:p w14:paraId="29D1DF1C" w14:textId="5E282F5D" w:rsidR="007D5A2D" w:rsidRPr="00035D04" w:rsidRDefault="007D5A2D" w:rsidP="007D5A2D">
            <w:pPr>
              <w:jc w:val="center"/>
              <w:rPr>
                <w:sz w:val="24"/>
                <w:szCs w:val="24"/>
              </w:rPr>
            </w:pPr>
            <w:r w:rsidRPr="00035D04">
              <w:rPr>
                <w:sz w:val="24"/>
                <w:szCs w:val="24"/>
              </w:rPr>
              <w:t>5.88%</w:t>
            </w:r>
          </w:p>
        </w:tc>
      </w:tr>
    </w:tbl>
    <w:p w14:paraId="2A9A87EE" w14:textId="77777777" w:rsidR="007D5A2D" w:rsidRPr="00035D04" w:rsidRDefault="007D5A2D" w:rsidP="00CA7441">
      <w:pPr>
        <w:pStyle w:val="qowt-li-90"/>
        <w:spacing w:before="0" w:beforeAutospacing="0" w:after="0" w:afterAutospacing="0"/>
        <w:ind w:left="720"/>
        <w:rPr>
          <w:rFonts w:asciiTheme="minorHAnsi" w:hAnsiTheme="minorHAnsi"/>
        </w:rPr>
      </w:pPr>
    </w:p>
    <w:p w14:paraId="0B62D90F" w14:textId="77777777" w:rsidR="0040249B" w:rsidRPr="00035D04" w:rsidRDefault="0040249B" w:rsidP="007D5A2D">
      <w:pPr>
        <w:pStyle w:val="qowt-li-90"/>
        <w:spacing w:before="0" w:beforeAutospacing="0" w:after="0" w:afterAutospacing="0"/>
        <w:rPr>
          <w:rFonts w:asciiTheme="minorHAnsi" w:hAnsiTheme="minorHAnsi"/>
        </w:rPr>
      </w:pPr>
    </w:p>
    <w:p w14:paraId="6A2DDB41" w14:textId="17CD1365" w:rsidR="007A35BF" w:rsidRPr="00035D04" w:rsidRDefault="0040249B" w:rsidP="00CA7441">
      <w:pPr>
        <w:pStyle w:val="qowt-li-90"/>
        <w:spacing w:before="0" w:beforeAutospacing="0" w:after="0" w:afterAutospacing="0"/>
        <w:ind w:left="720"/>
        <w:rPr>
          <w:rFonts w:asciiTheme="minorHAnsi" w:hAnsiTheme="minorHAnsi"/>
        </w:rPr>
      </w:pPr>
      <w:r w:rsidRPr="00035D04">
        <w:rPr>
          <w:rFonts w:asciiTheme="minorHAnsi" w:hAnsiTheme="minorHAnsi"/>
        </w:rPr>
        <w:t>In preparing for the implementation, I would have considered cost to be the greatest advantage of this project. Research clearly tells us the costs of higher education have been increasing and students spend upwards of $1,200 per academic year on textbooks</w:t>
      </w:r>
      <w:r w:rsidR="000F5415" w:rsidRPr="00035D04">
        <w:rPr>
          <w:rFonts w:asciiTheme="minorHAnsi" w:hAnsiTheme="minorHAnsi"/>
        </w:rPr>
        <w:t xml:space="preserve"> (College Board, 2013)</w:t>
      </w:r>
      <w:r w:rsidRPr="00035D04">
        <w:rPr>
          <w:rFonts w:asciiTheme="minorHAnsi" w:hAnsiTheme="minorHAnsi"/>
        </w:rPr>
        <w:t>.  However, cost was only the third most frequently mentioned item in the student feedback.  Rather, aside from the vast majority of students who mentioned they found the readings helpful or beneficial (n=75, 88%), the other most reported student feedback was that they appreciated the relevancy of the selected readings and variety of authors using online course readings as opposed to a traditional textbook.</w:t>
      </w:r>
    </w:p>
    <w:p w14:paraId="7C413F66" w14:textId="77777777" w:rsidR="007A35BF" w:rsidRPr="00035D04" w:rsidRDefault="007A35BF" w:rsidP="00CA7441">
      <w:pPr>
        <w:pStyle w:val="qowt-li-90"/>
        <w:spacing w:before="0" w:beforeAutospacing="0" w:after="0" w:afterAutospacing="0"/>
        <w:ind w:left="720"/>
        <w:rPr>
          <w:rFonts w:asciiTheme="minorHAnsi" w:hAnsiTheme="minorHAnsi"/>
        </w:rPr>
      </w:pPr>
    </w:p>
    <w:p w14:paraId="6E2A36BF" w14:textId="77777777" w:rsidR="00BB29D2" w:rsidRPr="00035D04" w:rsidRDefault="0040249B" w:rsidP="00CA7441">
      <w:pPr>
        <w:pStyle w:val="qowt-li-90"/>
        <w:spacing w:before="0" w:beforeAutospacing="0" w:after="0" w:afterAutospacing="0"/>
        <w:ind w:left="720"/>
        <w:rPr>
          <w:rFonts w:asciiTheme="minorHAnsi" w:hAnsiTheme="minorHAnsi"/>
        </w:rPr>
      </w:pPr>
      <w:r w:rsidRPr="00035D04">
        <w:rPr>
          <w:rFonts w:asciiTheme="minorHAnsi" w:hAnsiTheme="minorHAnsi"/>
        </w:rPr>
        <w:t xml:space="preserve">On this theme, over one third (n=30, </w:t>
      </w:r>
      <w:r w:rsidR="007A35BF" w:rsidRPr="00035D04">
        <w:rPr>
          <w:rFonts w:asciiTheme="minorHAnsi" w:hAnsiTheme="minorHAnsi"/>
        </w:rPr>
        <w:t xml:space="preserve">35%) of students included statements like, </w:t>
      </w:r>
      <w:r w:rsidR="007A35BF" w:rsidRPr="00035D04">
        <w:rPr>
          <w:rFonts w:asciiTheme="minorHAnsi" w:hAnsiTheme="minorHAnsi"/>
          <w:i/>
        </w:rPr>
        <w:t>“[</w:t>
      </w:r>
      <w:proofErr w:type="gramStart"/>
      <w:r w:rsidR="007A35BF" w:rsidRPr="00035D04">
        <w:rPr>
          <w:rFonts w:asciiTheme="minorHAnsi" w:hAnsiTheme="minorHAnsi"/>
          <w:i/>
        </w:rPr>
        <w:t>T]he</w:t>
      </w:r>
      <w:proofErr w:type="gramEnd"/>
      <w:r w:rsidR="007A35BF" w:rsidRPr="00035D04">
        <w:rPr>
          <w:rFonts w:asciiTheme="minorHAnsi" w:hAnsiTheme="minorHAnsi"/>
          <w:i/>
        </w:rPr>
        <w:t xml:space="preserve"> readings were more current and showed things that really were happening in society and not a hypothetical</w:t>
      </w:r>
      <w:r w:rsidR="007A35BF" w:rsidRPr="00035D04">
        <w:rPr>
          <w:rFonts w:asciiTheme="minorHAnsi" w:hAnsiTheme="minorHAnsi"/>
        </w:rPr>
        <w:t>, “ and “</w:t>
      </w:r>
      <w:r w:rsidR="007A35BF" w:rsidRPr="00035D04">
        <w:rPr>
          <w:rFonts w:asciiTheme="minorHAnsi" w:hAnsiTheme="minorHAnsi"/>
          <w:i/>
        </w:rPr>
        <w:t xml:space="preserve">The issues we talked about are ever-changing, so it was </w:t>
      </w:r>
      <w:r w:rsidR="007A35BF" w:rsidRPr="00035D04">
        <w:rPr>
          <w:rFonts w:asciiTheme="minorHAnsi" w:hAnsiTheme="minorHAnsi"/>
          <w:i/>
        </w:rPr>
        <w:lastRenderedPageBreak/>
        <w:t>nice to see news items and scholarly articles that deal with issues as they appear currently</w:t>
      </w:r>
      <w:r w:rsidR="007A35BF" w:rsidRPr="00035D04">
        <w:rPr>
          <w:rFonts w:asciiTheme="minorHAnsi" w:hAnsiTheme="minorHAnsi"/>
        </w:rPr>
        <w:t>.”  Other students commented, “</w:t>
      </w:r>
      <w:r w:rsidR="007A35BF" w:rsidRPr="00035D04">
        <w:rPr>
          <w:rFonts w:asciiTheme="minorHAnsi" w:hAnsiTheme="minorHAnsi"/>
          <w:i/>
        </w:rPr>
        <w:t xml:space="preserve">It’s all recent stuff so that kept me more involved and it </w:t>
      </w:r>
      <w:r w:rsidR="004C1F99" w:rsidRPr="00035D04">
        <w:rPr>
          <w:rFonts w:asciiTheme="minorHAnsi" w:hAnsiTheme="minorHAnsi"/>
          <w:i/>
        </w:rPr>
        <w:t xml:space="preserve">was </w:t>
      </w:r>
      <w:r w:rsidR="007A35BF" w:rsidRPr="00035D04">
        <w:rPr>
          <w:rFonts w:asciiTheme="minorHAnsi" w:hAnsiTheme="minorHAnsi"/>
          <w:i/>
        </w:rPr>
        <w:t>also coming from multiple places helped prove the point of the material</w:t>
      </w:r>
      <w:r w:rsidR="007A35BF" w:rsidRPr="00035D04">
        <w:rPr>
          <w:rFonts w:asciiTheme="minorHAnsi" w:hAnsiTheme="minorHAnsi"/>
        </w:rPr>
        <w:t>,” and, “</w:t>
      </w:r>
      <w:r w:rsidR="007A35BF" w:rsidRPr="00035D04">
        <w:rPr>
          <w:rFonts w:asciiTheme="minorHAnsi" w:hAnsiTheme="minorHAnsi"/>
          <w:i/>
        </w:rPr>
        <w:t>The reading material allowed us the use of perspectives from different people instead of using a more structured reading [textbook]</w:t>
      </w:r>
      <w:r w:rsidR="007A35BF" w:rsidRPr="00035D04">
        <w:rPr>
          <w:rFonts w:asciiTheme="minorHAnsi" w:hAnsiTheme="minorHAnsi"/>
        </w:rPr>
        <w:t xml:space="preserve">.” </w:t>
      </w:r>
    </w:p>
    <w:p w14:paraId="64831F9E" w14:textId="77777777" w:rsidR="00BB29D2" w:rsidRPr="00035D04" w:rsidRDefault="00BB29D2" w:rsidP="00CA7441">
      <w:pPr>
        <w:pStyle w:val="qowt-li-90"/>
        <w:spacing w:before="0" w:beforeAutospacing="0" w:after="0" w:afterAutospacing="0"/>
        <w:ind w:left="720"/>
        <w:rPr>
          <w:rFonts w:asciiTheme="minorHAnsi" w:hAnsiTheme="minorHAnsi"/>
        </w:rPr>
      </w:pPr>
    </w:p>
    <w:p w14:paraId="1560CF56" w14:textId="77777777" w:rsidR="0040249B" w:rsidRPr="00035D04" w:rsidRDefault="007A35BF" w:rsidP="00CA7441">
      <w:pPr>
        <w:pStyle w:val="qowt-li-90"/>
        <w:spacing w:before="0" w:beforeAutospacing="0" w:after="0" w:afterAutospacing="0"/>
        <w:ind w:left="720"/>
        <w:rPr>
          <w:rFonts w:asciiTheme="minorHAnsi" w:hAnsiTheme="minorHAnsi"/>
        </w:rPr>
      </w:pPr>
      <w:r w:rsidRPr="00035D04">
        <w:rPr>
          <w:rFonts w:asciiTheme="minorHAnsi" w:hAnsiTheme="minorHAnsi"/>
        </w:rPr>
        <w:t xml:space="preserve">This was certainly a message that I like to send to my students, that I hope they will become scholars, not simply students, and I strive to create a compilation of readings that meets that end.  For example, the readings by Sonia Nieto, Diane </w:t>
      </w:r>
      <w:proofErr w:type="spellStart"/>
      <w:r w:rsidRPr="00035D04">
        <w:rPr>
          <w:rFonts w:asciiTheme="minorHAnsi" w:hAnsiTheme="minorHAnsi"/>
        </w:rPr>
        <w:t>Ravitch</w:t>
      </w:r>
      <w:proofErr w:type="spellEnd"/>
      <w:r w:rsidRPr="00035D04">
        <w:rPr>
          <w:rFonts w:asciiTheme="minorHAnsi" w:hAnsiTheme="minorHAnsi"/>
        </w:rPr>
        <w:t xml:space="preserve">, Beverly Tatum, Paulo </w:t>
      </w:r>
      <w:proofErr w:type="spellStart"/>
      <w:r w:rsidRPr="00035D04">
        <w:rPr>
          <w:rFonts w:asciiTheme="minorHAnsi" w:hAnsiTheme="minorHAnsi"/>
        </w:rPr>
        <w:t>Friere</w:t>
      </w:r>
      <w:proofErr w:type="spellEnd"/>
      <w:r w:rsidRPr="00035D04">
        <w:rPr>
          <w:rFonts w:asciiTheme="minorHAnsi" w:hAnsiTheme="minorHAnsi"/>
        </w:rPr>
        <w:t xml:space="preserve">, and others are </w:t>
      </w:r>
      <w:r w:rsidR="00BB29D2" w:rsidRPr="00035D04">
        <w:rPr>
          <w:rFonts w:asciiTheme="minorHAnsi" w:hAnsiTheme="minorHAnsi"/>
        </w:rPr>
        <w:t>authors</w:t>
      </w:r>
      <w:r w:rsidRPr="00035D04">
        <w:rPr>
          <w:rFonts w:asciiTheme="minorHAnsi" w:hAnsiTheme="minorHAnsi"/>
        </w:rPr>
        <w:t xml:space="preserve"> these students will encounter should they continue in a graduate program in education; thus, I find it valuable to introduce them as authorities in the field </w:t>
      </w:r>
      <w:r w:rsidR="00BB29D2" w:rsidRPr="00035D04">
        <w:rPr>
          <w:rFonts w:asciiTheme="minorHAnsi" w:hAnsiTheme="minorHAnsi"/>
        </w:rPr>
        <w:t xml:space="preserve">now.  Additionally, using an online compilation of readings also gives me to ability to customize to course content more than with a traditional textbook (one of the goals </w:t>
      </w:r>
      <w:r w:rsidR="00300112" w:rsidRPr="00035D04">
        <w:rPr>
          <w:rFonts w:asciiTheme="minorHAnsi" w:hAnsiTheme="minorHAnsi"/>
        </w:rPr>
        <w:t>from the initial grant proposal), and I am honestly surprised that the students liked that as much as they did.  Many cited that as a main factor for their success in the class.</w:t>
      </w:r>
    </w:p>
    <w:p w14:paraId="3DFECF0A" w14:textId="77777777" w:rsidR="00300112" w:rsidRPr="00035D04" w:rsidRDefault="00300112" w:rsidP="00CA7441">
      <w:pPr>
        <w:pStyle w:val="qowt-li-90"/>
        <w:spacing w:before="0" w:beforeAutospacing="0" w:after="0" w:afterAutospacing="0"/>
        <w:ind w:left="720"/>
        <w:rPr>
          <w:rFonts w:asciiTheme="minorHAnsi" w:hAnsiTheme="minorHAnsi"/>
        </w:rPr>
      </w:pPr>
    </w:p>
    <w:p w14:paraId="73598055" w14:textId="556A2CC8" w:rsidR="00300112" w:rsidRPr="00035D04" w:rsidRDefault="00300112" w:rsidP="00CA7441">
      <w:pPr>
        <w:pStyle w:val="qowt-li-90"/>
        <w:spacing w:before="0" w:beforeAutospacing="0" w:after="0" w:afterAutospacing="0"/>
        <w:ind w:left="720"/>
        <w:rPr>
          <w:rFonts w:asciiTheme="minorHAnsi" w:hAnsiTheme="minorHAnsi"/>
        </w:rPr>
      </w:pPr>
      <w:r w:rsidRPr="00035D04">
        <w:rPr>
          <w:rFonts w:asciiTheme="minorHAnsi" w:hAnsiTheme="minorHAnsi"/>
        </w:rPr>
        <w:t xml:space="preserve">While the vast majority of students seemed to enjoy the online readings and textbook elimination in the course, there were certainly a few who thought having a textbook would have improved their course success.  One of the main comments that resonated with me stated, </w:t>
      </w:r>
      <w:r w:rsidRPr="00035D04">
        <w:rPr>
          <w:rFonts w:asciiTheme="minorHAnsi" w:hAnsiTheme="minorHAnsi"/>
          <w:i/>
        </w:rPr>
        <w:t>“[</w:t>
      </w:r>
      <w:proofErr w:type="gramStart"/>
      <w:r w:rsidRPr="00035D04">
        <w:rPr>
          <w:rFonts w:asciiTheme="minorHAnsi" w:hAnsiTheme="minorHAnsi"/>
          <w:i/>
        </w:rPr>
        <w:t>I]f</w:t>
      </w:r>
      <w:proofErr w:type="gramEnd"/>
      <w:r w:rsidRPr="00035D04">
        <w:rPr>
          <w:rFonts w:asciiTheme="minorHAnsi" w:hAnsiTheme="minorHAnsi"/>
          <w:i/>
        </w:rPr>
        <w:t xml:space="preserve"> I had a general question about something there was no real place to look with a guaranteed answer</w:t>
      </w:r>
      <w:r w:rsidRPr="00035D04">
        <w:rPr>
          <w:rFonts w:asciiTheme="minorHAnsi" w:hAnsiTheme="minorHAnsi"/>
        </w:rPr>
        <w:t>.”  This was particularly concerning to me given that during pre-implementation in Fall 2014, 18 (20</w:t>
      </w:r>
      <w:r w:rsidR="000F5415" w:rsidRPr="00035D04">
        <w:rPr>
          <w:rFonts w:asciiTheme="minorHAnsi" w:hAnsiTheme="minorHAnsi"/>
        </w:rPr>
        <w:t>.00</w:t>
      </w:r>
      <w:r w:rsidRPr="00035D04">
        <w:rPr>
          <w:rFonts w:asciiTheme="minorHAnsi" w:hAnsiTheme="minorHAnsi"/>
        </w:rPr>
        <w:t>%) students reported the book helpful and 17 (18.</w:t>
      </w:r>
      <w:r w:rsidR="000F5415" w:rsidRPr="00035D04">
        <w:rPr>
          <w:rFonts w:asciiTheme="minorHAnsi" w:hAnsiTheme="minorHAnsi"/>
        </w:rPr>
        <w:t>8</w:t>
      </w:r>
      <w:r w:rsidRPr="00035D04">
        <w:rPr>
          <w:rFonts w:asciiTheme="minorHAnsi" w:hAnsiTheme="minorHAnsi"/>
        </w:rPr>
        <w:t xml:space="preserve">9%) reported using it as a reference tool to augment topics discussed in class. </w:t>
      </w:r>
      <w:r w:rsidR="004C1F99" w:rsidRPr="00035D04">
        <w:rPr>
          <w:rFonts w:asciiTheme="minorHAnsi" w:hAnsiTheme="minorHAnsi"/>
        </w:rPr>
        <w:t xml:space="preserve">Further, the </w:t>
      </w:r>
      <w:r w:rsidR="00567970" w:rsidRPr="00035D04">
        <w:rPr>
          <w:rFonts w:asciiTheme="minorHAnsi" w:hAnsiTheme="minorHAnsi"/>
        </w:rPr>
        <w:t xml:space="preserve">quantitative </w:t>
      </w:r>
      <w:proofErr w:type="spellStart"/>
      <w:r w:rsidR="00567970" w:rsidRPr="00035D04">
        <w:rPr>
          <w:rFonts w:asciiTheme="minorHAnsi" w:hAnsiTheme="minorHAnsi"/>
        </w:rPr>
        <w:t>Likert</w:t>
      </w:r>
      <w:proofErr w:type="spellEnd"/>
      <w:r w:rsidR="004C1F99" w:rsidRPr="00035D04">
        <w:rPr>
          <w:rFonts w:asciiTheme="minorHAnsi" w:hAnsiTheme="minorHAnsi"/>
        </w:rPr>
        <w:t xml:space="preserve"> question, “</w:t>
      </w:r>
      <w:r w:rsidR="004C1F99" w:rsidRPr="00035D04">
        <w:rPr>
          <w:rFonts w:asciiTheme="minorHAnsi" w:hAnsiTheme="minorHAnsi"/>
          <w:i/>
        </w:rPr>
        <w:t>I would have been more successful in this class with a traditional textbook</w:t>
      </w:r>
      <w:r w:rsidR="004C1F99" w:rsidRPr="00035D04">
        <w:rPr>
          <w:rFonts w:asciiTheme="minorHAnsi" w:hAnsiTheme="minorHAnsi"/>
        </w:rPr>
        <w:t xml:space="preserve">,” showed 18 </w:t>
      </w:r>
      <w:r w:rsidR="000F5415" w:rsidRPr="00035D04">
        <w:rPr>
          <w:rFonts w:asciiTheme="minorHAnsi" w:hAnsiTheme="minorHAnsi"/>
        </w:rPr>
        <w:t xml:space="preserve">Spring 2015 </w:t>
      </w:r>
      <w:r w:rsidR="004C1F99" w:rsidRPr="00035D04">
        <w:rPr>
          <w:rFonts w:asciiTheme="minorHAnsi" w:hAnsiTheme="minorHAnsi"/>
        </w:rPr>
        <w:t>students (</w:t>
      </w:r>
      <w:r w:rsidR="000F5415" w:rsidRPr="00035D04">
        <w:rPr>
          <w:rFonts w:asciiTheme="minorHAnsi" w:hAnsiTheme="minorHAnsi"/>
        </w:rPr>
        <w:t>18.56</w:t>
      </w:r>
      <w:r w:rsidR="004C1F99" w:rsidRPr="00035D04">
        <w:rPr>
          <w:rFonts w:asciiTheme="minorHAnsi" w:hAnsiTheme="minorHAnsi"/>
        </w:rPr>
        <w:t xml:space="preserve">%) strongly agreed with this statement. </w:t>
      </w:r>
      <w:r w:rsidRPr="00035D04">
        <w:rPr>
          <w:rFonts w:asciiTheme="minorHAnsi" w:hAnsiTheme="minorHAnsi"/>
        </w:rPr>
        <w:t>Even though I would have been glad to discuss any topics students found confusing in more detail, I understand the possible frustrations voiced in this feedback.  It is certainly significant</w:t>
      </w:r>
      <w:r w:rsidR="004C1F99" w:rsidRPr="00035D04">
        <w:rPr>
          <w:rFonts w:asciiTheme="minorHAnsi" w:hAnsiTheme="minorHAnsi"/>
        </w:rPr>
        <w:t xml:space="preserve"> and frequent</w:t>
      </w:r>
      <w:r w:rsidRPr="00035D04">
        <w:rPr>
          <w:rFonts w:asciiTheme="minorHAnsi" w:hAnsiTheme="minorHAnsi"/>
        </w:rPr>
        <w:t xml:space="preserve"> enough that I would want to consider reference options for my students in the future.</w:t>
      </w:r>
      <w:r w:rsidR="000F5415" w:rsidRPr="00035D04">
        <w:rPr>
          <w:rFonts w:asciiTheme="minorHAnsi" w:hAnsiTheme="minorHAnsi"/>
        </w:rPr>
        <w:t xml:space="preserve">  This is somewhat encouraging to me though, as we are currently in the process of developing an entirely open website with textbook-style content specific to the course as a part of an ALG Round 2 Transformation-at-Scale project.</w:t>
      </w:r>
    </w:p>
    <w:p w14:paraId="4B9D2494" w14:textId="77777777" w:rsidR="00300112" w:rsidRPr="00035D04" w:rsidRDefault="00300112" w:rsidP="00CA7441">
      <w:pPr>
        <w:pStyle w:val="qowt-li-90"/>
        <w:spacing w:before="0" w:beforeAutospacing="0" w:after="0" w:afterAutospacing="0"/>
        <w:ind w:left="720"/>
        <w:rPr>
          <w:rFonts w:asciiTheme="minorHAnsi" w:hAnsiTheme="minorHAnsi"/>
        </w:rPr>
      </w:pPr>
    </w:p>
    <w:p w14:paraId="66912A97" w14:textId="77777777" w:rsidR="00CA7441" w:rsidRPr="00035D04" w:rsidRDefault="00CA7441" w:rsidP="00CA7441">
      <w:pPr>
        <w:pStyle w:val="NormalWeb"/>
        <w:spacing w:before="0" w:beforeAutospacing="0" w:after="0" w:afterAutospacing="0"/>
        <w:rPr>
          <w:rFonts w:asciiTheme="minorHAnsi" w:hAnsiTheme="minorHAnsi"/>
        </w:rPr>
      </w:pPr>
      <w:r w:rsidRPr="00035D04">
        <w:rPr>
          <w:rFonts w:asciiTheme="minorHAnsi" w:hAnsiTheme="minorHAnsi"/>
          <w:b/>
          <w:bCs/>
        </w:rPr>
        <w:t>5. Sustainability Plan</w:t>
      </w:r>
    </w:p>
    <w:p w14:paraId="45CC62B5" w14:textId="67CEFF2F" w:rsidR="00CA7441" w:rsidRPr="00035D04" w:rsidRDefault="001C750F" w:rsidP="00CA7441">
      <w:pPr>
        <w:pStyle w:val="qowt-stl-listparagraph"/>
        <w:shd w:val="clear" w:color="auto" w:fill="FFFFFF"/>
        <w:spacing w:before="0" w:beforeAutospacing="0" w:after="0" w:afterAutospacing="0"/>
        <w:ind w:left="720"/>
        <w:rPr>
          <w:rFonts w:asciiTheme="minorHAnsi" w:hAnsiTheme="minorHAnsi"/>
          <w:iCs/>
          <w:color w:val="000000"/>
        </w:rPr>
      </w:pPr>
      <w:r w:rsidRPr="00035D04">
        <w:rPr>
          <w:rFonts w:asciiTheme="minorHAnsi" w:hAnsiTheme="minorHAnsi" w:cs="Calibri"/>
          <w:iCs/>
        </w:rPr>
        <w:t xml:space="preserve">The information for the no-cost to student materials for EDUC 2120: Exploring Socio-Cultural Perspectives on Diversity will be hosted on a University of Georgia WordPress site located at </w:t>
      </w:r>
      <w:hyperlink r:id="rId10" w:history="1">
        <w:r w:rsidRPr="00035D04">
          <w:rPr>
            <w:rStyle w:val="Hyperlink"/>
            <w:rFonts w:asciiTheme="minorHAnsi" w:hAnsiTheme="minorHAnsi" w:cs="Calibri"/>
            <w:iCs/>
          </w:rPr>
          <w:t>http://ctlsites.uga.edu/openeduc/</w:t>
        </w:r>
      </w:hyperlink>
      <w:r w:rsidRPr="00035D04">
        <w:rPr>
          <w:rFonts w:asciiTheme="minorHAnsi" w:hAnsiTheme="minorHAnsi" w:cs="Calibri"/>
          <w:iCs/>
        </w:rPr>
        <w:t>. The University of Georgia’s Center for Teaching and Learning provides WordPress sites to faculty through a Multisite projected called CTL Sites (</w:t>
      </w:r>
      <w:hyperlink r:id="rId11" w:history="1">
        <w:r w:rsidRPr="00035D04">
          <w:rPr>
            <w:rStyle w:val="Hyperlink"/>
            <w:rFonts w:asciiTheme="minorHAnsi" w:hAnsiTheme="minorHAnsi" w:cs="Calibri"/>
            <w:iCs/>
          </w:rPr>
          <w:t>http://ctlsites.uga.edu/</w:t>
        </w:r>
      </w:hyperlink>
      <w:r w:rsidRPr="00035D04">
        <w:rPr>
          <w:rFonts w:asciiTheme="minorHAnsi" w:hAnsiTheme="minorHAnsi" w:cs="Calibri"/>
          <w:iCs/>
        </w:rPr>
        <w:t xml:space="preserve">). Using this platform ensures we are using a university supported tool which provides stability of service and technical support. Additionally, the CTL Sites use accessible templates to ensure the content meets accessibility requirements. WordPress sites are easily edited and maintained. As new content becomes available or when links die, one of the team members will log in to the </w:t>
      </w:r>
      <w:r w:rsidRPr="00035D04">
        <w:rPr>
          <w:rFonts w:asciiTheme="minorHAnsi" w:hAnsiTheme="minorHAnsi" w:cs="Calibri"/>
          <w:iCs/>
        </w:rPr>
        <w:lastRenderedPageBreak/>
        <w:t>site and update as needed.</w:t>
      </w:r>
      <w:r w:rsidR="00CA7441" w:rsidRPr="00035D04">
        <w:rPr>
          <w:rFonts w:asciiTheme="minorHAnsi" w:hAnsiTheme="minorHAnsi"/>
          <w:i/>
          <w:iCs/>
          <w:color w:val="000000"/>
        </w:rPr>
        <w:t xml:space="preserve"> </w:t>
      </w:r>
      <w:r w:rsidR="00571F03" w:rsidRPr="00035D04">
        <w:rPr>
          <w:rFonts w:asciiTheme="minorHAnsi" w:hAnsiTheme="minorHAnsi"/>
          <w:iCs/>
          <w:color w:val="000000"/>
        </w:rPr>
        <w:t xml:space="preserve"> Additionally, Dr. Cozart will continue to use this resource for three sections of EDUC 2120 during Fall 2015 with 120 students.  This will be modified for continued use in EDUC 2120 through an ALG R</w:t>
      </w:r>
      <w:r w:rsidR="006F3288" w:rsidRPr="00035D04">
        <w:rPr>
          <w:rFonts w:asciiTheme="minorHAnsi" w:hAnsiTheme="minorHAnsi"/>
          <w:iCs/>
          <w:color w:val="000000"/>
        </w:rPr>
        <w:t xml:space="preserve">ound </w:t>
      </w:r>
      <w:r w:rsidR="00571F03" w:rsidRPr="00035D04">
        <w:rPr>
          <w:rFonts w:asciiTheme="minorHAnsi" w:hAnsiTheme="minorHAnsi"/>
          <w:iCs/>
          <w:color w:val="000000"/>
        </w:rPr>
        <w:t>2 Transformation at Scale project that should be implemented in Spring 2016.</w:t>
      </w:r>
    </w:p>
    <w:p w14:paraId="427698D0" w14:textId="77777777" w:rsidR="00310519" w:rsidRPr="00035D04" w:rsidRDefault="00310519" w:rsidP="00CA7441">
      <w:pPr>
        <w:pStyle w:val="qowt-stl-listparagraph"/>
        <w:shd w:val="clear" w:color="auto" w:fill="FFFFFF"/>
        <w:spacing w:before="0" w:beforeAutospacing="0" w:after="0" w:afterAutospacing="0"/>
        <w:ind w:left="720"/>
        <w:rPr>
          <w:rFonts w:asciiTheme="minorHAnsi" w:hAnsiTheme="minorHAnsi"/>
          <w:color w:val="000000"/>
        </w:rPr>
      </w:pPr>
    </w:p>
    <w:p w14:paraId="10369CCB" w14:textId="102740D8" w:rsidR="00CA7441" w:rsidRPr="00035D04" w:rsidRDefault="00CA7441" w:rsidP="006F3288">
      <w:pPr>
        <w:pStyle w:val="NormalWeb"/>
        <w:shd w:val="clear" w:color="auto" w:fill="FFFFFF"/>
        <w:spacing w:before="0" w:beforeAutospacing="0" w:after="0" w:afterAutospacing="0"/>
        <w:rPr>
          <w:rFonts w:asciiTheme="minorHAnsi" w:hAnsiTheme="minorHAnsi"/>
          <w:color w:val="000000"/>
        </w:rPr>
      </w:pPr>
      <w:r w:rsidRPr="00035D04">
        <w:rPr>
          <w:rFonts w:asciiTheme="minorHAnsi" w:hAnsiTheme="minorHAnsi"/>
          <w:b/>
          <w:bCs/>
          <w:color w:val="000000"/>
        </w:rPr>
        <w:t>6. Future Plans</w:t>
      </w:r>
    </w:p>
    <w:p w14:paraId="30087D58" w14:textId="77777777" w:rsidR="00310519" w:rsidRPr="00035D04" w:rsidRDefault="00310519" w:rsidP="00CA7441">
      <w:pPr>
        <w:pStyle w:val="qowt-li-90"/>
        <w:shd w:val="clear" w:color="auto" w:fill="FFFFFF"/>
        <w:spacing w:before="0" w:beforeAutospacing="0" w:after="0" w:afterAutospacing="0"/>
        <w:ind w:left="720"/>
        <w:rPr>
          <w:rFonts w:asciiTheme="minorHAnsi" w:hAnsiTheme="minorHAnsi"/>
          <w:color w:val="000000"/>
        </w:rPr>
      </w:pPr>
    </w:p>
    <w:p w14:paraId="3A909D1B" w14:textId="6E2DA2E4" w:rsidR="00D73AD8" w:rsidRPr="00035D04" w:rsidRDefault="00D73AD8" w:rsidP="00CA7441">
      <w:pPr>
        <w:pStyle w:val="qowt-li-90"/>
        <w:shd w:val="clear" w:color="auto" w:fill="FFFFFF"/>
        <w:spacing w:before="0" w:beforeAutospacing="0" w:after="0" w:afterAutospacing="0"/>
        <w:ind w:left="720"/>
        <w:rPr>
          <w:rFonts w:asciiTheme="minorHAnsi" w:hAnsiTheme="minorHAnsi"/>
          <w:color w:val="000000"/>
        </w:rPr>
      </w:pPr>
      <w:r w:rsidRPr="00035D04">
        <w:rPr>
          <w:rFonts w:asciiTheme="minorHAnsi" w:hAnsiTheme="minorHAnsi"/>
          <w:color w:val="000000"/>
        </w:rPr>
        <w:t xml:space="preserve">This project has truly been transformative for me in terms of how I select materials for the class and in the real needs of my students.  Too often, instructors do not ask questions that will tell us how our course materials are being used, and without that knowledge, we may miss significant pieces of how we can improve learning outcomes for our students.  Knowing the value many students place on having a textbook as a reference for the course is already influencing </w:t>
      </w:r>
      <w:r w:rsidR="006F3288" w:rsidRPr="00035D04">
        <w:rPr>
          <w:rFonts w:asciiTheme="minorHAnsi" w:hAnsiTheme="minorHAnsi"/>
          <w:color w:val="000000"/>
        </w:rPr>
        <w:t xml:space="preserve">our approach to the new OER’s we are developing as a part of the ALG Round 2 grants. </w:t>
      </w:r>
    </w:p>
    <w:p w14:paraId="0B209FBE" w14:textId="77777777" w:rsidR="006F3288" w:rsidRPr="00035D04" w:rsidRDefault="006F3288" w:rsidP="00CA7441">
      <w:pPr>
        <w:pStyle w:val="qowt-li-90"/>
        <w:shd w:val="clear" w:color="auto" w:fill="FFFFFF"/>
        <w:spacing w:before="0" w:beforeAutospacing="0" w:after="0" w:afterAutospacing="0"/>
        <w:ind w:left="720"/>
        <w:rPr>
          <w:rFonts w:asciiTheme="minorHAnsi" w:hAnsiTheme="minorHAnsi"/>
          <w:color w:val="000000"/>
        </w:rPr>
      </w:pPr>
    </w:p>
    <w:p w14:paraId="2ECAC40B" w14:textId="5D9F55DF" w:rsidR="006F3288" w:rsidRPr="00035D04" w:rsidRDefault="006F3288" w:rsidP="00CA7441">
      <w:pPr>
        <w:pStyle w:val="qowt-li-90"/>
        <w:shd w:val="clear" w:color="auto" w:fill="FFFFFF"/>
        <w:spacing w:before="0" w:beforeAutospacing="0" w:after="0" w:afterAutospacing="0"/>
        <w:ind w:left="720"/>
        <w:rPr>
          <w:rFonts w:asciiTheme="minorHAnsi" w:hAnsiTheme="minorHAnsi"/>
          <w:color w:val="000000"/>
        </w:rPr>
      </w:pPr>
      <w:r w:rsidRPr="00035D04">
        <w:rPr>
          <w:rFonts w:asciiTheme="minorHAnsi" w:hAnsiTheme="minorHAnsi"/>
          <w:color w:val="000000"/>
        </w:rPr>
        <w:t>Additionally, the findings regarding the value students place on have a variety of authors to read and current texts seem very timely.  I am already making plans to develop this into a manuscript for submission in the coming months</w:t>
      </w:r>
      <w:r w:rsidR="00880F0F" w:rsidRPr="00035D04">
        <w:rPr>
          <w:rFonts w:asciiTheme="minorHAnsi" w:hAnsiTheme="minorHAnsi"/>
          <w:color w:val="000000"/>
        </w:rPr>
        <w:t xml:space="preserve"> with additional data analysis utilizing grade distributions across the different semesters</w:t>
      </w:r>
      <w:r w:rsidRPr="00035D04">
        <w:rPr>
          <w:rFonts w:asciiTheme="minorHAnsi" w:hAnsiTheme="minorHAnsi"/>
          <w:color w:val="000000"/>
        </w:rPr>
        <w:t xml:space="preserve">.  Further, I have already submitted a conference proposal about this project to the American Educational Studies Association’s annual conference for November 2015.  I expect to hear about its acceptance very soon. </w:t>
      </w:r>
    </w:p>
    <w:p w14:paraId="426C67D4" w14:textId="77777777" w:rsidR="006F3288" w:rsidRPr="00035D04" w:rsidRDefault="006F3288" w:rsidP="00CA7441">
      <w:pPr>
        <w:pStyle w:val="qowt-li-90"/>
        <w:shd w:val="clear" w:color="auto" w:fill="FFFFFF"/>
        <w:spacing w:before="0" w:beforeAutospacing="0" w:after="0" w:afterAutospacing="0"/>
        <w:ind w:left="720"/>
        <w:rPr>
          <w:rFonts w:asciiTheme="minorHAnsi" w:hAnsiTheme="minorHAnsi"/>
          <w:color w:val="000000"/>
        </w:rPr>
      </w:pPr>
    </w:p>
    <w:p w14:paraId="7D9D048D" w14:textId="193E9ED6" w:rsidR="006F3288" w:rsidRPr="00035D04" w:rsidRDefault="006F3288" w:rsidP="00CA7441">
      <w:pPr>
        <w:pStyle w:val="qowt-li-90"/>
        <w:shd w:val="clear" w:color="auto" w:fill="FFFFFF"/>
        <w:spacing w:before="0" w:beforeAutospacing="0" w:after="0" w:afterAutospacing="0"/>
        <w:ind w:left="720"/>
        <w:rPr>
          <w:rFonts w:asciiTheme="minorHAnsi" w:hAnsiTheme="minorHAnsi"/>
          <w:color w:val="000000"/>
        </w:rPr>
      </w:pPr>
      <w:r w:rsidRPr="00035D04">
        <w:rPr>
          <w:rFonts w:asciiTheme="minorHAnsi" w:hAnsiTheme="minorHAnsi"/>
          <w:color w:val="000000"/>
        </w:rPr>
        <w:t>Also, given that this course is taught across the University of Georgia, I think it is important that other instructors of EDUC 2120 be made aware of this project and this resource.  I plan to submit a proposal to present on this at the USG Teaching and Learning Conference in the spring of 2016, as well as at the UGA College of Education’s Innovative Teaching and Technology Conference in October of 2015.  I have no doubt that others will be interested to learn about these outcomes and how to more effectively utilize content in their courses.</w:t>
      </w:r>
    </w:p>
    <w:p w14:paraId="58E7E462" w14:textId="0AC5C1DA" w:rsidR="00035D04" w:rsidRDefault="00035D04">
      <w:pPr>
        <w:rPr>
          <w:rFonts w:eastAsia="Times New Roman" w:cs="Times New Roman"/>
          <w:color w:val="000000"/>
          <w:sz w:val="24"/>
          <w:szCs w:val="24"/>
        </w:rPr>
      </w:pPr>
      <w:r>
        <w:rPr>
          <w:color w:val="000000"/>
        </w:rPr>
        <w:br w:type="page"/>
      </w:r>
    </w:p>
    <w:p w14:paraId="5FAA8257" w14:textId="77777777" w:rsidR="00D73AD8" w:rsidRPr="00035D04" w:rsidRDefault="00D73AD8" w:rsidP="00CA7441">
      <w:pPr>
        <w:pStyle w:val="qowt-li-90"/>
        <w:shd w:val="clear" w:color="auto" w:fill="FFFFFF"/>
        <w:spacing w:before="0" w:beforeAutospacing="0" w:after="0" w:afterAutospacing="0"/>
        <w:ind w:left="720"/>
        <w:rPr>
          <w:rFonts w:asciiTheme="minorHAnsi" w:hAnsiTheme="minorHAnsi"/>
          <w:color w:val="000000"/>
        </w:rPr>
      </w:pPr>
    </w:p>
    <w:p w14:paraId="1A29C947" w14:textId="77777777" w:rsidR="00CA7441" w:rsidRPr="00035D04" w:rsidRDefault="00CA7441" w:rsidP="00CA7441">
      <w:pPr>
        <w:pStyle w:val="NormalWeb"/>
        <w:shd w:val="clear" w:color="auto" w:fill="FFFFFF"/>
        <w:spacing w:before="0" w:beforeAutospacing="0" w:after="0" w:afterAutospacing="0"/>
        <w:rPr>
          <w:rFonts w:asciiTheme="minorHAnsi" w:hAnsiTheme="minorHAnsi"/>
          <w:color w:val="000000"/>
        </w:rPr>
      </w:pPr>
      <w:r w:rsidRPr="00035D04">
        <w:rPr>
          <w:rFonts w:asciiTheme="minorHAnsi" w:hAnsiTheme="minorHAnsi"/>
          <w:b/>
          <w:bCs/>
          <w:color w:val="000000"/>
        </w:rPr>
        <w:t>7. Description of Photograph</w:t>
      </w:r>
    </w:p>
    <w:p w14:paraId="50BD6ADD" w14:textId="77777777" w:rsidR="00310519" w:rsidRPr="00035D04" w:rsidRDefault="00310519" w:rsidP="00645A3F">
      <w:pPr>
        <w:pStyle w:val="qowt-li-100"/>
        <w:shd w:val="clear" w:color="auto" w:fill="FFFFFF"/>
        <w:spacing w:before="0" w:beforeAutospacing="0" w:after="0" w:afterAutospacing="0"/>
        <w:rPr>
          <w:rFonts w:asciiTheme="minorHAnsi" w:hAnsiTheme="minorHAnsi"/>
          <w:i/>
          <w:iCs/>
          <w:color w:val="000000"/>
        </w:rPr>
      </w:pPr>
    </w:p>
    <w:p w14:paraId="0DB98E95" w14:textId="229FABFE" w:rsidR="00310519" w:rsidRPr="00035D04" w:rsidRDefault="00310519" w:rsidP="00CA7441">
      <w:pPr>
        <w:pStyle w:val="qowt-li-100"/>
        <w:shd w:val="clear" w:color="auto" w:fill="FFFFFF"/>
        <w:spacing w:before="0" w:beforeAutospacing="0" w:after="0" w:afterAutospacing="0"/>
        <w:ind w:left="720"/>
        <w:rPr>
          <w:rFonts w:asciiTheme="minorHAnsi" w:hAnsiTheme="minorHAnsi"/>
          <w:iCs/>
          <w:color w:val="000000"/>
        </w:rPr>
      </w:pPr>
      <w:r w:rsidRPr="00035D04">
        <w:rPr>
          <w:rFonts w:asciiTheme="minorHAnsi" w:hAnsiTheme="minorHAnsi"/>
          <w:iCs/>
          <w:color w:val="000000"/>
        </w:rPr>
        <w:t xml:space="preserve">Two photographs have been included with this submission. </w:t>
      </w:r>
    </w:p>
    <w:p w14:paraId="6295FC26" w14:textId="77777777" w:rsidR="00310519" w:rsidRPr="00035D04" w:rsidRDefault="00310519" w:rsidP="00CA7441">
      <w:pPr>
        <w:pStyle w:val="qowt-li-100"/>
        <w:shd w:val="clear" w:color="auto" w:fill="FFFFFF"/>
        <w:spacing w:before="0" w:beforeAutospacing="0" w:after="0" w:afterAutospacing="0"/>
        <w:ind w:left="720"/>
        <w:rPr>
          <w:rFonts w:asciiTheme="minorHAnsi" w:hAnsiTheme="minorHAnsi"/>
          <w:iCs/>
          <w:color w:val="000000"/>
        </w:rPr>
      </w:pPr>
    </w:p>
    <w:p w14:paraId="4B3C3B78" w14:textId="77777777" w:rsidR="00645A3F" w:rsidRPr="00035D04" w:rsidRDefault="00310519" w:rsidP="00CA7441">
      <w:pPr>
        <w:pStyle w:val="qowt-li-100"/>
        <w:shd w:val="clear" w:color="auto" w:fill="FFFFFF"/>
        <w:spacing w:before="0" w:beforeAutospacing="0" w:after="0" w:afterAutospacing="0"/>
        <w:ind w:left="720"/>
        <w:rPr>
          <w:rFonts w:asciiTheme="minorHAnsi" w:hAnsiTheme="minorHAnsi"/>
          <w:iCs/>
          <w:color w:val="000000"/>
        </w:rPr>
      </w:pPr>
      <w:r w:rsidRPr="00035D04">
        <w:rPr>
          <w:rFonts w:asciiTheme="minorHAnsi" w:hAnsiTheme="minorHAnsi"/>
          <w:iCs/>
          <w:color w:val="000000"/>
        </w:rPr>
        <w:t xml:space="preserve">ALG R1 #10 Photo A:  </w:t>
      </w:r>
    </w:p>
    <w:p w14:paraId="160D7BEA" w14:textId="77777777" w:rsidR="00645A3F" w:rsidRPr="00035D04" w:rsidRDefault="00645A3F" w:rsidP="00CA7441">
      <w:pPr>
        <w:pStyle w:val="qowt-li-100"/>
        <w:shd w:val="clear" w:color="auto" w:fill="FFFFFF"/>
        <w:spacing w:before="0" w:beforeAutospacing="0" w:after="0" w:afterAutospacing="0"/>
        <w:ind w:left="720"/>
        <w:rPr>
          <w:rFonts w:asciiTheme="minorHAnsi" w:hAnsiTheme="minorHAnsi"/>
          <w:iCs/>
          <w:color w:val="000000"/>
        </w:rPr>
      </w:pPr>
    </w:p>
    <w:p w14:paraId="2EF72595" w14:textId="60C238E4" w:rsidR="00310519" w:rsidRPr="00035D04" w:rsidRDefault="00310519" w:rsidP="00645A3F">
      <w:pPr>
        <w:pStyle w:val="qowt-li-100"/>
        <w:shd w:val="clear" w:color="auto" w:fill="FFFFFF"/>
        <w:spacing w:before="0" w:beforeAutospacing="0" w:after="0" w:afterAutospacing="0"/>
        <w:ind w:left="1440"/>
        <w:rPr>
          <w:rFonts w:asciiTheme="minorHAnsi" w:hAnsiTheme="minorHAnsi"/>
          <w:iCs/>
          <w:color w:val="000000"/>
        </w:rPr>
      </w:pPr>
      <w:r w:rsidRPr="00035D04">
        <w:rPr>
          <w:rFonts w:asciiTheme="minorHAnsi" w:hAnsiTheme="minorHAnsi"/>
          <w:i/>
          <w:iCs/>
          <w:color w:val="000000"/>
        </w:rPr>
        <w:t>(</w:t>
      </w:r>
      <w:proofErr w:type="gramStart"/>
      <w:r w:rsidRPr="00035D04">
        <w:rPr>
          <w:rFonts w:asciiTheme="minorHAnsi" w:hAnsiTheme="minorHAnsi"/>
          <w:i/>
          <w:iCs/>
          <w:color w:val="000000"/>
        </w:rPr>
        <w:t>left</w:t>
      </w:r>
      <w:proofErr w:type="gramEnd"/>
      <w:r w:rsidRPr="00035D04">
        <w:rPr>
          <w:rFonts w:asciiTheme="minorHAnsi" w:hAnsiTheme="minorHAnsi"/>
          <w:i/>
          <w:iCs/>
          <w:color w:val="000000"/>
        </w:rPr>
        <w:t>-right) Ms. Amy Ingalls, Instructional Designer; Dr. Deanna Cozart, Team Lead and Instructor of Record</w:t>
      </w:r>
    </w:p>
    <w:p w14:paraId="5A698E8F" w14:textId="77777777" w:rsidR="00310519" w:rsidRPr="00035D04" w:rsidRDefault="00310519" w:rsidP="00CA7441">
      <w:pPr>
        <w:pStyle w:val="qowt-li-100"/>
        <w:shd w:val="clear" w:color="auto" w:fill="FFFFFF"/>
        <w:spacing w:before="0" w:beforeAutospacing="0" w:after="0" w:afterAutospacing="0"/>
        <w:ind w:left="720"/>
        <w:rPr>
          <w:rFonts w:asciiTheme="minorHAnsi" w:hAnsiTheme="minorHAnsi"/>
          <w:iCs/>
          <w:color w:val="000000"/>
        </w:rPr>
      </w:pPr>
    </w:p>
    <w:p w14:paraId="5D9F4DEC" w14:textId="57C21213" w:rsidR="00645A3F" w:rsidRPr="00035D04" w:rsidRDefault="00310519" w:rsidP="00CA7441">
      <w:pPr>
        <w:pStyle w:val="qowt-li-100"/>
        <w:shd w:val="clear" w:color="auto" w:fill="FFFFFF"/>
        <w:spacing w:before="0" w:beforeAutospacing="0" w:after="0" w:afterAutospacing="0"/>
        <w:ind w:left="720"/>
        <w:rPr>
          <w:rFonts w:asciiTheme="minorHAnsi" w:hAnsiTheme="minorHAnsi"/>
          <w:iCs/>
          <w:color w:val="000000"/>
        </w:rPr>
      </w:pPr>
      <w:r w:rsidRPr="00035D04">
        <w:rPr>
          <w:rFonts w:asciiTheme="minorHAnsi" w:hAnsiTheme="minorHAnsi"/>
          <w:iCs/>
          <w:color w:val="000000"/>
        </w:rPr>
        <w:t xml:space="preserve">ALG R1 #10 Photo B:  </w:t>
      </w:r>
      <w:r w:rsidR="00645A3F" w:rsidRPr="00035D04">
        <w:rPr>
          <w:rFonts w:asciiTheme="minorHAnsi" w:hAnsiTheme="minorHAnsi"/>
          <w:iCs/>
          <w:color w:val="000000"/>
        </w:rPr>
        <w:t>All are s</w:t>
      </w:r>
      <w:r w:rsidRPr="00035D04">
        <w:rPr>
          <w:rFonts w:asciiTheme="minorHAnsi" w:hAnsiTheme="minorHAnsi"/>
          <w:iCs/>
          <w:color w:val="000000"/>
        </w:rPr>
        <w:t>tudents from one of the course sections of EDUC 2120, Spring 201</w:t>
      </w:r>
      <w:r w:rsidR="00645A3F" w:rsidRPr="00035D04">
        <w:rPr>
          <w:rFonts w:asciiTheme="minorHAnsi" w:hAnsiTheme="minorHAnsi"/>
          <w:iCs/>
          <w:color w:val="000000"/>
        </w:rPr>
        <w:t>5 at The University of Georgia unless otherwise indicated.</w:t>
      </w:r>
    </w:p>
    <w:p w14:paraId="382721C3" w14:textId="77777777" w:rsidR="00645A3F" w:rsidRPr="00035D04" w:rsidRDefault="00645A3F" w:rsidP="00CA7441">
      <w:pPr>
        <w:pStyle w:val="qowt-li-100"/>
        <w:shd w:val="clear" w:color="auto" w:fill="FFFFFF"/>
        <w:spacing w:before="0" w:beforeAutospacing="0" w:after="0" w:afterAutospacing="0"/>
        <w:ind w:left="720"/>
        <w:rPr>
          <w:rFonts w:asciiTheme="minorHAnsi" w:hAnsiTheme="minorHAnsi"/>
          <w:iCs/>
          <w:color w:val="000000"/>
        </w:rPr>
      </w:pPr>
    </w:p>
    <w:p w14:paraId="1E8EDE17" w14:textId="437D475A" w:rsidR="00310519" w:rsidRPr="00035D04" w:rsidRDefault="00310519" w:rsidP="00645A3F">
      <w:pPr>
        <w:pStyle w:val="qowt-li-100"/>
        <w:shd w:val="clear" w:color="auto" w:fill="FFFFFF"/>
        <w:spacing w:before="0" w:beforeAutospacing="0" w:after="0" w:afterAutospacing="0"/>
        <w:ind w:left="1440"/>
        <w:rPr>
          <w:rFonts w:asciiTheme="minorHAnsi" w:hAnsiTheme="minorHAnsi"/>
          <w:i/>
          <w:iCs/>
          <w:color w:val="000000"/>
        </w:rPr>
      </w:pPr>
      <w:r w:rsidRPr="00035D04">
        <w:rPr>
          <w:rFonts w:asciiTheme="minorHAnsi" w:hAnsiTheme="minorHAnsi"/>
          <w:i/>
          <w:iCs/>
          <w:color w:val="000000"/>
        </w:rPr>
        <w:t xml:space="preserve">Front Row:  (left-right) Jennifer </w:t>
      </w:r>
      <w:proofErr w:type="spellStart"/>
      <w:r w:rsidRPr="00035D04">
        <w:rPr>
          <w:rFonts w:asciiTheme="minorHAnsi" w:hAnsiTheme="minorHAnsi"/>
          <w:i/>
          <w:iCs/>
          <w:color w:val="000000"/>
        </w:rPr>
        <w:t>Guyre</w:t>
      </w:r>
      <w:proofErr w:type="spellEnd"/>
      <w:r w:rsidRPr="00035D04">
        <w:rPr>
          <w:rFonts w:asciiTheme="minorHAnsi" w:hAnsiTheme="minorHAnsi"/>
          <w:i/>
          <w:iCs/>
          <w:color w:val="000000"/>
        </w:rPr>
        <w:t xml:space="preserve">, </w:t>
      </w:r>
      <w:r w:rsidR="00645A3F" w:rsidRPr="00035D04">
        <w:rPr>
          <w:rFonts w:asciiTheme="minorHAnsi" w:hAnsiTheme="minorHAnsi"/>
          <w:i/>
          <w:iCs/>
          <w:color w:val="000000"/>
        </w:rPr>
        <w:t xml:space="preserve">Alison </w:t>
      </w:r>
      <w:proofErr w:type="spellStart"/>
      <w:r w:rsidR="00645A3F" w:rsidRPr="00035D04">
        <w:rPr>
          <w:rFonts w:asciiTheme="minorHAnsi" w:hAnsiTheme="minorHAnsi"/>
          <w:i/>
          <w:iCs/>
          <w:color w:val="000000"/>
        </w:rPr>
        <w:t>Jibilan</w:t>
      </w:r>
      <w:proofErr w:type="spellEnd"/>
      <w:r w:rsidR="00645A3F" w:rsidRPr="00035D04">
        <w:rPr>
          <w:rFonts w:asciiTheme="minorHAnsi" w:hAnsiTheme="minorHAnsi"/>
          <w:i/>
          <w:iCs/>
          <w:color w:val="000000"/>
        </w:rPr>
        <w:t xml:space="preserve">, Kaitlin Mitchell, </w:t>
      </w:r>
      <w:proofErr w:type="spellStart"/>
      <w:r w:rsidR="00645A3F" w:rsidRPr="00035D04">
        <w:rPr>
          <w:rFonts w:asciiTheme="minorHAnsi" w:hAnsiTheme="minorHAnsi"/>
          <w:i/>
          <w:iCs/>
          <w:color w:val="000000"/>
        </w:rPr>
        <w:t>Adelynne</w:t>
      </w:r>
      <w:proofErr w:type="spellEnd"/>
      <w:r w:rsidR="00645A3F" w:rsidRPr="00035D04">
        <w:rPr>
          <w:rFonts w:asciiTheme="minorHAnsi" w:hAnsiTheme="minorHAnsi"/>
          <w:i/>
          <w:iCs/>
          <w:color w:val="000000"/>
        </w:rPr>
        <w:t xml:space="preserve"> Devore, Caroline Moore, Sarah Becker, Myra Collier, Dr. Deanna Cozart (Team Lead and Instructor of Record), Meredith Miles, Laura Norris, Emily Moore, Sarah </w:t>
      </w:r>
      <w:proofErr w:type="spellStart"/>
      <w:r w:rsidR="00645A3F" w:rsidRPr="00035D04">
        <w:rPr>
          <w:rFonts w:asciiTheme="minorHAnsi" w:hAnsiTheme="minorHAnsi"/>
          <w:i/>
          <w:iCs/>
          <w:color w:val="000000"/>
        </w:rPr>
        <w:t>Evanowski</w:t>
      </w:r>
      <w:proofErr w:type="spellEnd"/>
      <w:r w:rsidR="00645A3F" w:rsidRPr="00035D04">
        <w:rPr>
          <w:rFonts w:asciiTheme="minorHAnsi" w:hAnsiTheme="minorHAnsi"/>
          <w:i/>
          <w:iCs/>
          <w:color w:val="000000"/>
        </w:rPr>
        <w:t>, Ms. Amy Ingalls (Instructional Designer)</w:t>
      </w:r>
    </w:p>
    <w:p w14:paraId="5046F60D" w14:textId="77777777" w:rsidR="00645A3F" w:rsidRPr="00035D04" w:rsidRDefault="00645A3F" w:rsidP="00CA7441">
      <w:pPr>
        <w:pStyle w:val="qowt-li-100"/>
        <w:shd w:val="clear" w:color="auto" w:fill="FFFFFF"/>
        <w:spacing w:before="0" w:beforeAutospacing="0" w:after="0" w:afterAutospacing="0"/>
        <w:ind w:left="720"/>
        <w:rPr>
          <w:rFonts w:asciiTheme="minorHAnsi" w:hAnsiTheme="minorHAnsi"/>
          <w:i/>
          <w:iCs/>
          <w:color w:val="000000"/>
        </w:rPr>
      </w:pPr>
    </w:p>
    <w:p w14:paraId="4D5A441D" w14:textId="5EA1752A" w:rsidR="00645A3F" w:rsidRPr="00035D04" w:rsidRDefault="00645A3F" w:rsidP="00645A3F">
      <w:pPr>
        <w:pStyle w:val="qowt-li-100"/>
        <w:shd w:val="clear" w:color="auto" w:fill="FFFFFF"/>
        <w:spacing w:before="0" w:beforeAutospacing="0" w:after="0" w:afterAutospacing="0"/>
        <w:ind w:left="1440"/>
        <w:rPr>
          <w:rFonts w:asciiTheme="minorHAnsi" w:hAnsiTheme="minorHAnsi"/>
          <w:i/>
          <w:color w:val="000000"/>
        </w:rPr>
      </w:pPr>
      <w:r w:rsidRPr="00035D04">
        <w:rPr>
          <w:rFonts w:asciiTheme="minorHAnsi" w:hAnsiTheme="minorHAnsi"/>
          <w:i/>
          <w:iCs/>
          <w:color w:val="000000"/>
        </w:rPr>
        <w:t xml:space="preserve">Back Row:  (left-right) Allison Hinson, </w:t>
      </w:r>
      <w:proofErr w:type="spellStart"/>
      <w:r w:rsidRPr="00035D04">
        <w:rPr>
          <w:rFonts w:asciiTheme="minorHAnsi" w:hAnsiTheme="minorHAnsi"/>
          <w:i/>
          <w:iCs/>
          <w:color w:val="000000"/>
        </w:rPr>
        <w:t>Zariah</w:t>
      </w:r>
      <w:proofErr w:type="spellEnd"/>
      <w:r w:rsidRPr="00035D04">
        <w:rPr>
          <w:rFonts w:asciiTheme="minorHAnsi" w:hAnsiTheme="minorHAnsi"/>
          <w:i/>
          <w:iCs/>
          <w:color w:val="000000"/>
        </w:rPr>
        <w:t xml:space="preserve"> Lewis, </w:t>
      </w:r>
      <w:proofErr w:type="spellStart"/>
      <w:r w:rsidRPr="00035D04">
        <w:rPr>
          <w:rFonts w:asciiTheme="minorHAnsi" w:hAnsiTheme="minorHAnsi"/>
          <w:i/>
          <w:iCs/>
          <w:color w:val="000000"/>
        </w:rPr>
        <w:t>MacKenzie</w:t>
      </w:r>
      <w:proofErr w:type="spellEnd"/>
      <w:r w:rsidRPr="00035D04">
        <w:rPr>
          <w:rFonts w:asciiTheme="minorHAnsi" w:hAnsiTheme="minorHAnsi"/>
          <w:i/>
          <w:iCs/>
          <w:color w:val="000000"/>
        </w:rPr>
        <w:t xml:space="preserve"> Maynard, Samantha </w:t>
      </w:r>
      <w:proofErr w:type="spellStart"/>
      <w:r w:rsidRPr="00035D04">
        <w:rPr>
          <w:rFonts w:asciiTheme="minorHAnsi" w:hAnsiTheme="minorHAnsi"/>
          <w:i/>
          <w:iCs/>
          <w:color w:val="000000"/>
        </w:rPr>
        <w:t>Whisner</w:t>
      </w:r>
      <w:proofErr w:type="spellEnd"/>
      <w:r w:rsidRPr="00035D04">
        <w:rPr>
          <w:rFonts w:asciiTheme="minorHAnsi" w:hAnsiTheme="minorHAnsi"/>
          <w:i/>
          <w:iCs/>
          <w:color w:val="000000"/>
        </w:rPr>
        <w:t xml:space="preserve">, Kelsey Morgan, William </w:t>
      </w:r>
      <w:proofErr w:type="spellStart"/>
      <w:r w:rsidRPr="00035D04">
        <w:rPr>
          <w:rFonts w:asciiTheme="minorHAnsi" w:hAnsiTheme="minorHAnsi"/>
          <w:i/>
          <w:iCs/>
          <w:color w:val="000000"/>
        </w:rPr>
        <w:t>Rossman</w:t>
      </w:r>
      <w:proofErr w:type="spellEnd"/>
      <w:r w:rsidRPr="00035D04">
        <w:rPr>
          <w:rFonts w:asciiTheme="minorHAnsi" w:hAnsiTheme="minorHAnsi"/>
          <w:i/>
          <w:iCs/>
          <w:color w:val="000000"/>
        </w:rPr>
        <w:t xml:space="preserve">, Nicholas </w:t>
      </w:r>
      <w:proofErr w:type="spellStart"/>
      <w:r w:rsidRPr="00035D04">
        <w:rPr>
          <w:rFonts w:asciiTheme="minorHAnsi" w:hAnsiTheme="minorHAnsi"/>
          <w:i/>
          <w:iCs/>
          <w:color w:val="000000"/>
        </w:rPr>
        <w:t>Bouwman</w:t>
      </w:r>
      <w:proofErr w:type="spellEnd"/>
      <w:r w:rsidRPr="00035D04">
        <w:rPr>
          <w:rFonts w:asciiTheme="minorHAnsi" w:hAnsiTheme="minorHAnsi"/>
          <w:i/>
          <w:iCs/>
          <w:color w:val="000000"/>
        </w:rPr>
        <w:t xml:space="preserve">, Jeremy Mitchell, Marshall </w:t>
      </w:r>
      <w:proofErr w:type="spellStart"/>
      <w:r w:rsidRPr="00035D04">
        <w:rPr>
          <w:rFonts w:asciiTheme="minorHAnsi" w:hAnsiTheme="minorHAnsi"/>
          <w:i/>
          <w:iCs/>
          <w:color w:val="000000"/>
        </w:rPr>
        <w:t>Chumley</w:t>
      </w:r>
      <w:proofErr w:type="spellEnd"/>
      <w:r w:rsidRPr="00035D04">
        <w:rPr>
          <w:rFonts w:asciiTheme="minorHAnsi" w:hAnsiTheme="minorHAnsi"/>
          <w:i/>
          <w:iCs/>
          <w:color w:val="000000"/>
        </w:rPr>
        <w:t xml:space="preserve">, </w:t>
      </w:r>
      <w:proofErr w:type="spellStart"/>
      <w:r w:rsidRPr="00035D04">
        <w:rPr>
          <w:rFonts w:asciiTheme="minorHAnsi" w:hAnsiTheme="minorHAnsi"/>
          <w:i/>
          <w:iCs/>
          <w:color w:val="000000"/>
        </w:rPr>
        <w:t>Kameron</w:t>
      </w:r>
      <w:proofErr w:type="spellEnd"/>
      <w:r w:rsidRPr="00035D04">
        <w:rPr>
          <w:rFonts w:asciiTheme="minorHAnsi" w:hAnsiTheme="minorHAnsi"/>
          <w:i/>
          <w:iCs/>
          <w:color w:val="000000"/>
        </w:rPr>
        <w:t xml:space="preserve"> Abernathy, Stephen Cox</w:t>
      </w:r>
    </w:p>
    <w:p w14:paraId="32EFD535" w14:textId="77777777" w:rsidR="00035D04" w:rsidRDefault="00035D04" w:rsidP="00035D04">
      <w:pPr>
        <w:pStyle w:val="normal0"/>
        <w:spacing w:after="0"/>
        <w:rPr>
          <w:rFonts w:asciiTheme="minorHAnsi" w:eastAsia="Calibri" w:hAnsiTheme="minorHAnsi" w:cs="Calibri"/>
          <w:b/>
          <w:sz w:val="22"/>
          <w:szCs w:val="22"/>
        </w:rPr>
      </w:pPr>
    </w:p>
    <w:p w14:paraId="35D3152A" w14:textId="77777777" w:rsidR="00035D04" w:rsidRDefault="00035D04" w:rsidP="00035D04">
      <w:pPr>
        <w:pStyle w:val="normal0"/>
        <w:spacing w:after="0"/>
        <w:rPr>
          <w:rFonts w:asciiTheme="minorHAnsi" w:eastAsia="Calibri" w:hAnsiTheme="minorHAnsi" w:cs="Calibri"/>
          <w:b/>
          <w:sz w:val="22"/>
          <w:szCs w:val="22"/>
        </w:rPr>
      </w:pPr>
    </w:p>
    <w:p w14:paraId="21313C99" w14:textId="77777777" w:rsidR="00035D04" w:rsidRPr="00035D04" w:rsidRDefault="00035D04" w:rsidP="00035D04">
      <w:pPr>
        <w:pStyle w:val="normal0"/>
        <w:spacing w:after="0"/>
        <w:rPr>
          <w:rFonts w:asciiTheme="minorHAnsi" w:hAnsiTheme="minorHAnsi"/>
          <w:szCs w:val="24"/>
        </w:rPr>
      </w:pPr>
      <w:r w:rsidRPr="00035D04">
        <w:rPr>
          <w:rFonts w:asciiTheme="minorHAnsi" w:eastAsia="Calibri" w:hAnsiTheme="minorHAnsi" w:cs="Calibri"/>
          <w:b/>
          <w:szCs w:val="24"/>
        </w:rPr>
        <w:t>References:</w:t>
      </w:r>
    </w:p>
    <w:p w14:paraId="78EE8B07" w14:textId="77777777" w:rsidR="00035D04" w:rsidRPr="00035D04" w:rsidRDefault="00035D04" w:rsidP="00035D04">
      <w:pPr>
        <w:pStyle w:val="normal0"/>
        <w:spacing w:after="0"/>
        <w:rPr>
          <w:rFonts w:asciiTheme="minorHAnsi" w:eastAsia="Calibri" w:hAnsiTheme="minorHAnsi" w:cs="Calibri"/>
          <w:szCs w:val="24"/>
        </w:rPr>
      </w:pPr>
    </w:p>
    <w:p w14:paraId="72587663" w14:textId="77777777" w:rsidR="00035D04" w:rsidRPr="00035D04" w:rsidRDefault="00035D04" w:rsidP="00035D04">
      <w:pPr>
        <w:pStyle w:val="normal0"/>
        <w:spacing w:after="0"/>
        <w:rPr>
          <w:rFonts w:asciiTheme="minorHAnsi" w:hAnsiTheme="minorHAnsi"/>
          <w:szCs w:val="24"/>
        </w:rPr>
      </w:pPr>
      <w:proofErr w:type="gramStart"/>
      <w:r w:rsidRPr="00035D04">
        <w:rPr>
          <w:rFonts w:asciiTheme="minorHAnsi" w:eastAsia="Calibri" w:hAnsiTheme="minorHAnsi" w:cs="Calibri"/>
          <w:szCs w:val="24"/>
        </w:rPr>
        <w:t>The College Board.</w:t>
      </w:r>
      <w:proofErr w:type="gramEnd"/>
      <w:r w:rsidRPr="00035D04">
        <w:rPr>
          <w:rFonts w:asciiTheme="minorHAnsi" w:eastAsia="Calibri" w:hAnsiTheme="minorHAnsi" w:cs="Calibri"/>
          <w:szCs w:val="24"/>
        </w:rPr>
        <w:t xml:space="preserve"> (2013)</w:t>
      </w:r>
      <w:proofErr w:type="gramStart"/>
      <w:r w:rsidRPr="00035D04">
        <w:rPr>
          <w:rFonts w:asciiTheme="minorHAnsi" w:eastAsia="Calibri" w:hAnsiTheme="minorHAnsi" w:cs="Calibri"/>
          <w:szCs w:val="24"/>
        </w:rPr>
        <w:t xml:space="preserve">. </w:t>
      </w:r>
      <w:r w:rsidRPr="00035D04">
        <w:rPr>
          <w:rFonts w:asciiTheme="minorHAnsi" w:eastAsia="Calibri" w:hAnsiTheme="minorHAnsi" w:cs="Calibri"/>
          <w:i/>
          <w:szCs w:val="24"/>
        </w:rPr>
        <w:t>Trends in college pricing 2013</w:t>
      </w:r>
      <w:r w:rsidRPr="00035D04">
        <w:rPr>
          <w:rFonts w:asciiTheme="minorHAnsi" w:eastAsia="Calibri" w:hAnsiTheme="minorHAnsi" w:cs="Calibri"/>
          <w:szCs w:val="24"/>
        </w:rPr>
        <w:t>.</w:t>
      </w:r>
      <w:proofErr w:type="gramEnd"/>
      <w:r w:rsidRPr="00035D04">
        <w:rPr>
          <w:rFonts w:asciiTheme="minorHAnsi" w:eastAsia="Calibri" w:hAnsiTheme="minorHAnsi" w:cs="Calibri"/>
          <w:szCs w:val="24"/>
        </w:rPr>
        <w:t xml:space="preserve"> Washington, DC: Author.</w:t>
      </w:r>
    </w:p>
    <w:p w14:paraId="317D1B6F" w14:textId="77777777" w:rsidR="00035D04" w:rsidRPr="00035D04" w:rsidRDefault="00035D04" w:rsidP="00035D04">
      <w:pPr>
        <w:pStyle w:val="normal0"/>
        <w:spacing w:after="0"/>
        <w:rPr>
          <w:rFonts w:asciiTheme="minorHAnsi" w:eastAsia="Calibri" w:hAnsiTheme="minorHAnsi" w:cs="Calibri"/>
          <w:szCs w:val="24"/>
        </w:rPr>
      </w:pPr>
      <w:bookmarkStart w:id="0" w:name="_GoBack"/>
      <w:bookmarkEnd w:id="0"/>
    </w:p>
    <w:p w14:paraId="27924F10" w14:textId="77777777" w:rsidR="00035D04" w:rsidRDefault="00035D04" w:rsidP="00035D04">
      <w:pPr>
        <w:pStyle w:val="normal0"/>
        <w:spacing w:after="0"/>
        <w:rPr>
          <w:rFonts w:asciiTheme="minorHAnsi" w:eastAsia="Calibri" w:hAnsiTheme="minorHAnsi" w:cs="Calibri"/>
          <w:i/>
          <w:sz w:val="22"/>
          <w:szCs w:val="22"/>
        </w:rPr>
      </w:pPr>
      <w:proofErr w:type="spellStart"/>
      <w:r w:rsidRPr="00035D04">
        <w:rPr>
          <w:rFonts w:asciiTheme="minorHAnsi" w:eastAsia="Calibri" w:hAnsiTheme="minorHAnsi" w:cs="Calibri"/>
          <w:szCs w:val="24"/>
        </w:rPr>
        <w:t>Shick</w:t>
      </w:r>
      <w:proofErr w:type="spellEnd"/>
      <w:r w:rsidRPr="00035D04">
        <w:rPr>
          <w:rFonts w:asciiTheme="minorHAnsi" w:eastAsia="Calibri" w:hAnsiTheme="minorHAnsi" w:cs="Calibri"/>
          <w:szCs w:val="24"/>
        </w:rPr>
        <w:t xml:space="preserve">, D., &amp; </w:t>
      </w:r>
      <w:proofErr w:type="spellStart"/>
      <w:r w:rsidRPr="00035D04">
        <w:rPr>
          <w:rFonts w:asciiTheme="minorHAnsi" w:eastAsia="Calibri" w:hAnsiTheme="minorHAnsi" w:cs="Calibri"/>
          <w:szCs w:val="24"/>
        </w:rPr>
        <w:t>Marklein</w:t>
      </w:r>
      <w:proofErr w:type="spellEnd"/>
      <w:r w:rsidRPr="00035D04">
        <w:rPr>
          <w:rFonts w:asciiTheme="minorHAnsi" w:eastAsia="Calibri" w:hAnsiTheme="minorHAnsi" w:cs="Calibri"/>
          <w:szCs w:val="24"/>
        </w:rPr>
        <w:t xml:space="preserve">, M.B. (2013, August 20). College students say no to textbooks. </w:t>
      </w:r>
      <w:r w:rsidRPr="00035D04">
        <w:rPr>
          <w:rFonts w:asciiTheme="minorHAnsi" w:eastAsia="Calibri" w:hAnsiTheme="minorHAnsi" w:cs="Calibri"/>
          <w:i/>
          <w:szCs w:val="24"/>
        </w:rPr>
        <w:t>USA Today.</w:t>
      </w:r>
    </w:p>
    <w:p w14:paraId="55FD9671" w14:textId="77777777" w:rsidR="0067440F" w:rsidRDefault="0067440F"/>
    <w:sectPr w:rsidR="0067440F">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6F2ED" w14:textId="77777777" w:rsidR="00880F0F" w:rsidRDefault="00880F0F" w:rsidP="0099304D">
      <w:pPr>
        <w:spacing w:after="0" w:line="240" w:lineRule="auto"/>
      </w:pPr>
      <w:r>
        <w:separator/>
      </w:r>
    </w:p>
  </w:endnote>
  <w:endnote w:type="continuationSeparator" w:id="0">
    <w:p w14:paraId="74661D59" w14:textId="77777777" w:rsidR="00880F0F" w:rsidRDefault="00880F0F" w:rsidP="0099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CF782" w14:textId="77777777" w:rsidR="00880F0F" w:rsidRDefault="00880F0F" w:rsidP="00FB68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50983B" w14:textId="77777777" w:rsidR="00880F0F" w:rsidRDefault="00880F0F" w:rsidP="0099304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B4A42" w14:textId="77777777" w:rsidR="00880F0F" w:rsidRDefault="00880F0F" w:rsidP="00FB68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5D04">
      <w:rPr>
        <w:rStyle w:val="PageNumber"/>
        <w:noProof/>
      </w:rPr>
      <w:t>1</w:t>
    </w:r>
    <w:r>
      <w:rPr>
        <w:rStyle w:val="PageNumber"/>
      </w:rPr>
      <w:fldChar w:fldCharType="end"/>
    </w:r>
  </w:p>
  <w:p w14:paraId="168FDA02" w14:textId="77777777" w:rsidR="00880F0F" w:rsidRDefault="00880F0F" w:rsidP="0099304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52C30" w14:textId="77777777" w:rsidR="00880F0F" w:rsidRDefault="00880F0F" w:rsidP="0099304D">
      <w:pPr>
        <w:spacing w:after="0" w:line="240" w:lineRule="auto"/>
      </w:pPr>
      <w:r>
        <w:separator/>
      </w:r>
    </w:p>
  </w:footnote>
  <w:footnote w:type="continuationSeparator" w:id="0">
    <w:p w14:paraId="04943E13" w14:textId="77777777" w:rsidR="00880F0F" w:rsidRDefault="00880F0F" w:rsidP="009930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41"/>
    <w:rsid w:val="00035D04"/>
    <w:rsid w:val="000C1F6B"/>
    <w:rsid w:val="000F5415"/>
    <w:rsid w:val="001731E9"/>
    <w:rsid w:val="001C750F"/>
    <w:rsid w:val="00256BED"/>
    <w:rsid w:val="002C780F"/>
    <w:rsid w:val="00300112"/>
    <w:rsid w:val="00310519"/>
    <w:rsid w:val="00342309"/>
    <w:rsid w:val="00366BDA"/>
    <w:rsid w:val="003E3681"/>
    <w:rsid w:val="0040249B"/>
    <w:rsid w:val="004947C7"/>
    <w:rsid w:val="004C1F99"/>
    <w:rsid w:val="0055702F"/>
    <w:rsid w:val="00567970"/>
    <w:rsid w:val="00571F03"/>
    <w:rsid w:val="005D4C57"/>
    <w:rsid w:val="005E5CBA"/>
    <w:rsid w:val="00612D0B"/>
    <w:rsid w:val="00645A3F"/>
    <w:rsid w:val="00650720"/>
    <w:rsid w:val="00671E2B"/>
    <w:rsid w:val="0067440F"/>
    <w:rsid w:val="006F3288"/>
    <w:rsid w:val="00701BEC"/>
    <w:rsid w:val="00742E8C"/>
    <w:rsid w:val="0078038C"/>
    <w:rsid w:val="007A35BF"/>
    <w:rsid w:val="007A7A49"/>
    <w:rsid w:val="007D5A2D"/>
    <w:rsid w:val="007D5C81"/>
    <w:rsid w:val="00880F0F"/>
    <w:rsid w:val="009179B7"/>
    <w:rsid w:val="00927DFC"/>
    <w:rsid w:val="0099304D"/>
    <w:rsid w:val="00AF5F38"/>
    <w:rsid w:val="00B32B22"/>
    <w:rsid w:val="00BA4519"/>
    <w:rsid w:val="00BB29D2"/>
    <w:rsid w:val="00C37155"/>
    <w:rsid w:val="00CA7441"/>
    <w:rsid w:val="00D73AD8"/>
    <w:rsid w:val="00E86A80"/>
    <w:rsid w:val="00F70BD3"/>
    <w:rsid w:val="00FB68FD"/>
    <w:rsid w:val="00FC2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A6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
    <w:name w:val="qowt-li-2_0"/>
    <w:basedOn w:val="Normal"/>
    <w:rsid w:val="00CA7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90">
    <w:name w:val="qowt-li-9_0"/>
    <w:basedOn w:val="Normal"/>
    <w:rsid w:val="00CA7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listparagraph">
    <w:name w:val="qowt-stl-listparagraph"/>
    <w:basedOn w:val="Normal"/>
    <w:rsid w:val="00CA7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50">
    <w:name w:val="qowt-li-5_0"/>
    <w:basedOn w:val="Normal"/>
    <w:rsid w:val="00CA7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100">
    <w:name w:val="qowt-li-10_0"/>
    <w:basedOn w:val="Normal"/>
    <w:rsid w:val="00CA7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91">
    <w:name w:val="qowt-li-9_1"/>
    <w:basedOn w:val="Normal"/>
    <w:rsid w:val="00CA74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0720"/>
    <w:rPr>
      <w:color w:val="0000FF" w:themeColor="hyperlink"/>
      <w:u w:val="single"/>
    </w:rPr>
  </w:style>
  <w:style w:type="table" w:styleId="TableGrid">
    <w:name w:val="Table Grid"/>
    <w:basedOn w:val="TableNormal"/>
    <w:uiPriority w:val="59"/>
    <w:rsid w:val="007D5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930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304D"/>
  </w:style>
  <w:style w:type="character" w:styleId="PageNumber">
    <w:name w:val="page number"/>
    <w:basedOn w:val="DefaultParagraphFont"/>
    <w:uiPriority w:val="99"/>
    <w:semiHidden/>
    <w:unhideWhenUsed/>
    <w:rsid w:val="0099304D"/>
  </w:style>
  <w:style w:type="paragraph" w:customStyle="1" w:styleId="normal0">
    <w:name w:val="normal"/>
    <w:rsid w:val="00035D04"/>
    <w:pPr>
      <w:spacing w:line="240" w:lineRule="auto"/>
      <w:jc w:val="both"/>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
    <w:name w:val="qowt-li-2_0"/>
    <w:basedOn w:val="Normal"/>
    <w:rsid w:val="00CA7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90">
    <w:name w:val="qowt-li-9_0"/>
    <w:basedOn w:val="Normal"/>
    <w:rsid w:val="00CA7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listparagraph">
    <w:name w:val="qowt-stl-listparagraph"/>
    <w:basedOn w:val="Normal"/>
    <w:rsid w:val="00CA7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50">
    <w:name w:val="qowt-li-5_0"/>
    <w:basedOn w:val="Normal"/>
    <w:rsid w:val="00CA7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100">
    <w:name w:val="qowt-li-10_0"/>
    <w:basedOn w:val="Normal"/>
    <w:rsid w:val="00CA7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91">
    <w:name w:val="qowt-li-9_1"/>
    <w:basedOn w:val="Normal"/>
    <w:rsid w:val="00CA74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0720"/>
    <w:rPr>
      <w:color w:val="0000FF" w:themeColor="hyperlink"/>
      <w:u w:val="single"/>
    </w:rPr>
  </w:style>
  <w:style w:type="table" w:styleId="TableGrid">
    <w:name w:val="Table Grid"/>
    <w:basedOn w:val="TableNormal"/>
    <w:uiPriority w:val="59"/>
    <w:rsid w:val="007D5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930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304D"/>
  </w:style>
  <w:style w:type="character" w:styleId="PageNumber">
    <w:name w:val="page number"/>
    <w:basedOn w:val="DefaultParagraphFont"/>
    <w:uiPriority w:val="99"/>
    <w:semiHidden/>
    <w:unhideWhenUsed/>
    <w:rsid w:val="0099304D"/>
  </w:style>
  <w:style w:type="paragraph" w:customStyle="1" w:styleId="normal0">
    <w:name w:val="normal"/>
    <w:rsid w:val="00035D04"/>
    <w:pPr>
      <w:spacing w:line="240" w:lineRule="auto"/>
      <w:jc w:val="both"/>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tlsites.uga.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cozart@uga.edu" TargetMode="External"/><Relationship Id="rId8" Type="http://schemas.openxmlformats.org/officeDocument/2006/relationships/hyperlink" Target="mailto:aingalls@uga.edu" TargetMode="External"/><Relationship Id="rId9" Type="http://schemas.openxmlformats.org/officeDocument/2006/relationships/hyperlink" Target="http://topics.nytimes.com/top/reference/timestopics/people/m/claire_cain_miller/index.html" TargetMode="External"/><Relationship Id="rId10" Type="http://schemas.openxmlformats.org/officeDocument/2006/relationships/hyperlink" Target="http://ctlsites.uga.edu/opened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13</Pages>
  <Words>4349</Words>
  <Characters>24795</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L Cozart</dc:creator>
  <cp:lastModifiedBy>Deanna Cozart</cp:lastModifiedBy>
  <cp:revision>11</cp:revision>
  <dcterms:created xsi:type="dcterms:W3CDTF">2015-05-28T14:30:00Z</dcterms:created>
  <dcterms:modified xsi:type="dcterms:W3CDTF">2015-06-01T18:59:00Z</dcterms:modified>
</cp:coreProperties>
</file>